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D406C9" w14:textId="338E8C69" w:rsidR="002027E7" w:rsidRDefault="002027E7">
      <w:pPr>
        <w:rPr>
          <w:lang w:val="en-US"/>
        </w:rPr>
      </w:pPr>
    </w:p>
    <w:tbl>
      <w:tblPr>
        <w:tblStyle w:val="TableGrid"/>
        <w:tblW w:w="10007" w:type="dxa"/>
        <w:jc w:val="center"/>
        <w:tblLook w:val="04A0" w:firstRow="1" w:lastRow="0" w:firstColumn="1" w:lastColumn="0" w:noHBand="0" w:noVBand="1"/>
      </w:tblPr>
      <w:tblGrid>
        <w:gridCol w:w="3335"/>
        <w:gridCol w:w="3335"/>
        <w:gridCol w:w="3337"/>
      </w:tblGrid>
      <w:tr w:rsidR="00742FA8" w:rsidRPr="009E044C" w14:paraId="131B86C3" w14:textId="77777777" w:rsidTr="00AD4622">
        <w:trPr>
          <w:trHeight w:val="652"/>
          <w:jc w:val="center"/>
        </w:trPr>
        <w:tc>
          <w:tcPr>
            <w:tcW w:w="3335" w:type="dxa"/>
            <w:tcBorders>
              <w:right w:val="single" w:sz="4" w:space="0" w:color="44546A" w:themeColor="text2"/>
            </w:tcBorders>
            <w:shd w:val="clear" w:color="auto" w:fill="1F3864" w:themeFill="accent1" w:themeFillShade="80"/>
          </w:tcPr>
          <w:p w14:paraId="1C0152D7" w14:textId="77777777" w:rsidR="009E044C" w:rsidRDefault="009E044C" w:rsidP="009E044C">
            <w:pPr>
              <w:jc w:val="center"/>
              <w:rPr>
                <w:rFonts w:cs="Arial"/>
                <w:color w:val="FFFFFF" w:themeColor="background1"/>
                <w:sz w:val="32"/>
                <w:szCs w:val="32"/>
                <w:shd w:val="clear" w:color="auto" w:fill="1F3864" w:themeFill="accent1" w:themeFillShade="80"/>
                <w:lang w:val="en-US"/>
              </w:rPr>
            </w:pPr>
          </w:p>
          <w:p w14:paraId="0FF3E5C4" w14:textId="5AEF8CD9" w:rsidR="009E044C" w:rsidRPr="00906B87" w:rsidRDefault="009E044C" w:rsidP="009E044C">
            <w:pPr>
              <w:jc w:val="center"/>
              <w:rPr>
                <w:rFonts w:cs="Arial"/>
                <w:color w:val="FFFFFF" w:themeColor="background1"/>
                <w:sz w:val="32"/>
                <w:szCs w:val="32"/>
                <w:shd w:val="clear" w:color="auto" w:fill="1F3864" w:themeFill="accent1" w:themeFillShade="80"/>
                <w:lang w:val="en-US"/>
              </w:rPr>
            </w:pPr>
            <w:r w:rsidRPr="00906B87">
              <w:rPr>
                <w:rFonts w:cs="Arial"/>
                <w:color w:val="FFFFFF" w:themeColor="background1"/>
                <w:sz w:val="32"/>
                <w:szCs w:val="32"/>
                <w:shd w:val="clear" w:color="auto" w:fill="1F3864" w:themeFill="accent1" w:themeFillShade="80"/>
                <w:lang w:val="en-US"/>
              </w:rPr>
              <w:t xml:space="preserve">Annual Rule of Law Report - Council of Europe </w:t>
            </w:r>
            <w:r w:rsidR="00AC53B5">
              <w:rPr>
                <w:rFonts w:cs="Arial"/>
                <w:color w:val="FFFFFF" w:themeColor="background1"/>
                <w:sz w:val="32"/>
                <w:szCs w:val="32"/>
                <w:shd w:val="clear" w:color="auto" w:fill="1F3864" w:themeFill="accent1" w:themeFillShade="80"/>
                <w:lang w:val="en-US"/>
              </w:rPr>
              <w:t>contribution</w:t>
            </w:r>
          </w:p>
          <w:p w14:paraId="53B8847D" w14:textId="5066B9D4" w:rsidR="00742FA8" w:rsidRDefault="00742FA8">
            <w:pPr>
              <w:rPr>
                <w:lang w:val="en-US"/>
              </w:rPr>
            </w:pPr>
          </w:p>
        </w:tc>
        <w:tc>
          <w:tcPr>
            <w:tcW w:w="3335" w:type="dxa"/>
            <w:tcBorders>
              <w:top w:val="single" w:sz="4" w:space="0" w:color="44546A" w:themeColor="text2"/>
              <w:left w:val="single" w:sz="4" w:space="0" w:color="44546A" w:themeColor="text2"/>
              <w:bottom w:val="single" w:sz="4" w:space="0" w:color="44546A" w:themeColor="text2"/>
              <w:right w:val="single" w:sz="4" w:space="0" w:color="44546A" w:themeColor="text2"/>
            </w:tcBorders>
          </w:tcPr>
          <w:p w14:paraId="68BF9AA1" w14:textId="298AA34B" w:rsidR="00742FA8" w:rsidRDefault="00742FA8">
            <w:pPr>
              <w:rPr>
                <w:lang w:val="en-US"/>
              </w:rPr>
            </w:pPr>
            <w:r>
              <w:rPr>
                <w:noProof/>
              </w:rPr>
              <w:drawing>
                <wp:inline distT="0" distB="0" distL="0" distR="0" wp14:anchorId="46A74EFC" wp14:editId="1B8DF21D">
                  <wp:extent cx="1433946" cy="146112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4789" cy="1594444"/>
                          </a:xfrm>
                          <a:prstGeom prst="rect">
                            <a:avLst/>
                          </a:prstGeom>
                          <a:noFill/>
                          <a:ln>
                            <a:noFill/>
                          </a:ln>
                        </pic:spPr>
                      </pic:pic>
                    </a:graphicData>
                  </a:graphic>
                </wp:inline>
              </w:drawing>
            </w:r>
          </w:p>
        </w:tc>
        <w:tc>
          <w:tcPr>
            <w:tcW w:w="3337" w:type="dxa"/>
            <w:tcBorders>
              <w:left w:val="single" w:sz="4" w:space="0" w:color="44546A" w:themeColor="text2"/>
            </w:tcBorders>
            <w:shd w:val="clear" w:color="auto" w:fill="1F3864" w:themeFill="accent1" w:themeFillShade="80"/>
          </w:tcPr>
          <w:p w14:paraId="1059CE5E" w14:textId="08E43F51" w:rsidR="00742FA8" w:rsidRDefault="00742FA8" w:rsidP="00742FA8">
            <w:pPr>
              <w:jc w:val="right"/>
              <w:rPr>
                <w:rFonts w:cs="Arial"/>
                <w:color w:val="FFFFFF" w:themeColor="background1"/>
                <w:sz w:val="22"/>
                <w:szCs w:val="22"/>
                <w:shd w:val="clear" w:color="auto" w:fill="1F3864" w:themeFill="accent1" w:themeFillShade="80"/>
                <w:lang w:val="en-US"/>
              </w:rPr>
            </w:pPr>
          </w:p>
          <w:p w14:paraId="375DBCE6" w14:textId="22249F6B" w:rsidR="00742FA8" w:rsidRDefault="00742FA8" w:rsidP="00742FA8">
            <w:pPr>
              <w:jc w:val="right"/>
              <w:rPr>
                <w:rFonts w:cs="Arial"/>
                <w:color w:val="FFFFFF" w:themeColor="background1"/>
                <w:sz w:val="22"/>
                <w:szCs w:val="22"/>
                <w:shd w:val="clear" w:color="auto" w:fill="1F3864" w:themeFill="accent1" w:themeFillShade="80"/>
                <w:lang w:val="en-US"/>
              </w:rPr>
            </w:pPr>
          </w:p>
          <w:p w14:paraId="602EEDD9" w14:textId="77777777" w:rsidR="009E044C" w:rsidRDefault="009E044C" w:rsidP="009E044C">
            <w:pPr>
              <w:jc w:val="center"/>
              <w:rPr>
                <w:rFonts w:cs="Arial"/>
                <w:color w:val="FFFFFF" w:themeColor="background1"/>
                <w:sz w:val="32"/>
                <w:szCs w:val="32"/>
                <w:shd w:val="clear" w:color="auto" w:fill="1F3864" w:themeFill="accent1" w:themeFillShade="80"/>
                <w:lang w:val="en-US"/>
              </w:rPr>
            </w:pPr>
          </w:p>
          <w:p w14:paraId="6B26AC0C" w14:textId="221191E8" w:rsidR="00742FA8" w:rsidRDefault="009E044C" w:rsidP="009E044C">
            <w:pPr>
              <w:jc w:val="center"/>
              <w:rPr>
                <w:rFonts w:cs="Arial"/>
                <w:color w:val="FFFFFF" w:themeColor="background1"/>
                <w:sz w:val="22"/>
                <w:szCs w:val="22"/>
                <w:shd w:val="clear" w:color="auto" w:fill="1F3864" w:themeFill="accent1" w:themeFillShade="80"/>
                <w:lang w:val="en-US"/>
              </w:rPr>
            </w:pPr>
            <w:r>
              <w:rPr>
                <w:rFonts w:cs="Arial"/>
                <w:color w:val="FFFFFF" w:themeColor="background1"/>
                <w:sz w:val="32"/>
                <w:szCs w:val="32"/>
                <w:shd w:val="clear" w:color="auto" w:fill="1F3864" w:themeFill="accent1" w:themeFillShade="80"/>
                <w:lang w:val="en-US"/>
              </w:rPr>
              <w:t>202</w:t>
            </w:r>
            <w:r w:rsidR="00E938C4">
              <w:rPr>
                <w:rFonts w:cs="Arial"/>
                <w:color w:val="FFFFFF" w:themeColor="background1"/>
                <w:sz w:val="32"/>
                <w:szCs w:val="32"/>
                <w:shd w:val="clear" w:color="auto" w:fill="1F3864" w:themeFill="accent1" w:themeFillShade="80"/>
                <w:lang w:val="en-US"/>
              </w:rPr>
              <w:t>4</w:t>
            </w:r>
          </w:p>
          <w:p w14:paraId="4279D85E" w14:textId="77777777" w:rsidR="00742FA8" w:rsidRDefault="00742FA8" w:rsidP="00742FA8">
            <w:pPr>
              <w:jc w:val="right"/>
              <w:rPr>
                <w:rFonts w:cs="Arial"/>
                <w:color w:val="FFFFFF" w:themeColor="background1"/>
                <w:sz w:val="22"/>
                <w:szCs w:val="22"/>
                <w:shd w:val="clear" w:color="auto" w:fill="1F3864" w:themeFill="accent1" w:themeFillShade="80"/>
                <w:lang w:val="en-US"/>
              </w:rPr>
            </w:pPr>
          </w:p>
          <w:p w14:paraId="199C0FEC" w14:textId="30B75DA9" w:rsidR="00742FA8" w:rsidRDefault="00742FA8" w:rsidP="00742FA8">
            <w:pPr>
              <w:jc w:val="right"/>
              <w:rPr>
                <w:lang w:val="en-US"/>
              </w:rPr>
            </w:pPr>
          </w:p>
        </w:tc>
      </w:tr>
      <w:tr w:rsidR="00906B87" w:rsidRPr="00A67F92" w14:paraId="425D15D4" w14:textId="77777777" w:rsidTr="00AD4622">
        <w:trPr>
          <w:trHeight w:val="652"/>
          <w:jc w:val="center"/>
        </w:trPr>
        <w:tc>
          <w:tcPr>
            <w:tcW w:w="10007" w:type="dxa"/>
            <w:gridSpan w:val="3"/>
          </w:tcPr>
          <w:p w14:paraId="2D5EC9E1" w14:textId="77777777" w:rsidR="005728A3" w:rsidRDefault="005728A3" w:rsidP="005728A3">
            <w:pPr>
              <w:jc w:val="right"/>
              <w:rPr>
                <w:rFonts w:cstheme="minorHAnsi"/>
                <w:b/>
                <w:bCs/>
                <w:color w:val="002060"/>
                <w:sz w:val="24"/>
                <w:szCs w:val="24"/>
                <w:lang w:val="en-US"/>
              </w:rPr>
            </w:pPr>
          </w:p>
          <w:p w14:paraId="2FA02905" w14:textId="2E527BA9" w:rsidR="005728A3" w:rsidRPr="009E044C" w:rsidRDefault="005728A3" w:rsidP="005728A3">
            <w:pPr>
              <w:jc w:val="right"/>
              <w:rPr>
                <w:rFonts w:cstheme="minorHAnsi"/>
                <w:b/>
                <w:bCs/>
                <w:color w:val="002060"/>
                <w:sz w:val="28"/>
                <w:szCs w:val="28"/>
                <w:lang w:val="en-US"/>
              </w:rPr>
            </w:pPr>
            <w:r w:rsidRPr="009E044C">
              <w:rPr>
                <w:rFonts w:cstheme="minorHAnsi"/>
                <w:b/>
                <w:bCs/>
                <w:color w:val="002060"/>
                <w:sz w:val="28"/>
                <w:szCs w:val="28"/>
                <w:lang w:val="en-US"/>
              </w:rPr>
              <w:t>Directorate General Human Rights and Rule of Law (DG I)</w:t>
            </w:r>
          </w:p>
          <w:p w14:paraId="6BB60EA7" w14:textId="77777777" w:rsidR="00906B87" w:rsidRDefault="00906B87" w:rsidP="005728A3">
            <w:pPr>
              <w:rPr>
                <w:rFonts w:cs="Arial"/>
                <w:color w:val="FFFFFF" w:themeColor="background1"/>
                <w:sz w:val="22"/>
                <w:szCs w:val="22"/>
                <w:shd w:val="clear" w:color="auto" w:fill="1F3864" w:themeFill="accent1" w:themeFillShade="80"/>
                <w:lang w:val="en-US"/>
              </w:rPr>
            </w:pPr>
          </w:p>
        </w:tc>
      </w:tr>
    </w:tbl>
    <w:p w14:paraId="6FF74EBB" w14:textId="77777777" w:rsidR="00742FA8" w:rsidRPr="00282225" w:rsidRDefault="00742FA8">
      <w:pPr>
        <w:rPr>
          <w:lang w:val="en-US"/>
        </w:rPr>
      </w:pPr>
    </w:p>
    <w:p w14:paraId="0B15158E" w14:textId="48A15008" w:rsidR="002027E7" w:rsidRDefault="002027E7">
      <w:pPr>
        <w:rPr>
          <w:lang w:val="en-US"/>
        </w:rPr>
      </w:pPr>
    </w:p>
    <w:tbl>
      <w:tblPr>
        <w:tblStyle w:val="TableGrid"/>
        <w:tblW w:w="10008" w:type="dxa"/>
        <w:jc w:val="center"/>
        <w:tblLook w:val="04A0" w:firstRow="1" w:lastRow="0" w:firstColumn="1" w:lastColumn="0" w:noHBand="0" w:noVBand="1"/>
      </w:tblPr>
      <w:tblGrid>
        <w:gridCol w:w="10008"/>
      </w:tblGrid>
      <w:tr w:rsidR="006D3771" w14:paraId="25C8B22E" w14:textId="77777777" w:rsidTr="00AD4622">
        <w:trPr>
          <w:trHeight w:val="249"/>
          <w:jc w:val="center"/>
        </w:trPr>
        <w:tc>
          <w:tcPr>
            <w:tcW w:w="10008" w:type="dxa"/>
            <w:shd w:val="clear" w:color="auto" w:fill="1F3864" w:themeFill="accent1" w:themeFillShade="80"/>
          </w:tcPr>
          <w:p w14:paraId="19F5558A" w14:textId="77777777" w:rsidR="006D3771" w:rsidRDefault="006D3771">
            <w:pPr>
              <w:rPr>
                <w:lang w:val="en-US"/>
              </w:rPr>
            </w:pPr>
          </w:p>
          <w:p w14:paraId="5BA8AE31" w14:textId="6ADA481B" w:rsidR="006D3771" w:rsidRPr="006D3771" w:rsidRDefault="00ED2EDB" w:rsidP="006D3771">
            <w:pPr>
              <w:jc w:val="center"/>
              <w:rPr>
                <w:sz w:val="32"/>
                <w:szCs w:val="32"/>
                <w:lang w:val="en-US"/>
              </w:rPr>
            </w:pPr>
            <w:r>
              <w:rPr>
                <w:sz w:val="32"/>
                <w:szCs w:val="32"/>
                <w:lang w:val="en-US"/>
              </w:rPr>
              <w:t>L</w:t>
            </w:r>
            <w:r w:rsidR="00D96E9B">
              <w:rPr>
                <w:sz w:val="32"/>
                <w:szCs w:val="32"/>
                <w:lang w:val="en-US"/>
              </w:rPr>
              <w:t>ithuania</w:t>
            </w:r>
          </w:p>
          <w:p w14:paraId="1EE0812F" w14:textId="73DF6167" w:rsidR="006D3771" w:rsidRDefault="006D3771">
            <w:pPr>
              <w:rPr>
                <w:lang w:val="en-US"/>
              </w:rPr>
            </w:pPr>
          </w:p>
        </w:tc>
      </w:tr>
    </w:tbl>
    <w:p w14:paraId="5BC2DC82" w14:textId="7135F9D1" w:rsidR="004A628B" w:rsidRDefault="004A628B" w:rsidP="004A628B">
      <w:pPr>
        <w:pStyle w:val="Heading1"/>
        <w:rPr>
          <w:lang w:val="en-US"/>
        </w:rPr>
      </w:pPr>
      <w:bookmarkStart w:id="0" w:name="_Toc36635809"/>
      <w:r>
        <w:rPr>
          <w:lang w:val="en-US"/>
        </w:rPr>
        <w:t xml:space="preserve">I </w:t>
      </w:r>
      <w:r w:rsidRPr="00546B57">
        <w:rPr>
          <w:lang w:val="en-US"/>
        </w:rPr>
        <w:t>Justice System</w:t>
      </w:r>
      <w:bookmarkEnd w:id="0"/>
      <w:r w:rsidRPr="00546B57">
        <w:rPr>
          <w:lang w:val="en-US"/>
        </w:rPr>
        <w:t xml:space="preserve"> </w:t>
      </w:r>
    </w:p>
    <w:p w14:paraId="5D9260C2" w14:textId="58CF01E9" w:rsidR="004A628B" w:rsidRDefault="004A628B" w:rsidP="004A628B">
      <w:pPr>
        <w:pStyle w:val="Default"/>
        <w:ind w:left="1080"/>
        <w:rPr>
          <w:color w:val="auto"/>
          <w:sz w:val="22"/>
          <w:szCs w:val="22"/>
          <w:lang w:val="en-US"/>
        </w:rPr>
      </w:pPr>
    </w:p>
    <w:p w14:paraId="5EC5E8DE" w14:textId="77777777" w:rsidR="00CF2C22" w:rsidRPr="00CF2C22" w:rsidRDefault="00CF2C22" w:rsidP="00CF2C22">
      <w:pPr>
        <w:pStyle w:val="Default"/>
        <w:jc w:val="both"/>
        <w:rPr>
          <w:rFonts w:asciiTheme="minorHAnsi" w:hAnsiTheme="minorHAnsi" w:cstheme="minorHAnsi"/>
          <w:color w:val="auto"/>
          <w:sz w:val="20"/>
          <w:szCs w:val="20"/>
          <w:lang w:val="en-US"/>
        </w:rPr>
      </w:pPr>
      <w:r w:rsidRPr="00CF2C22">
        <w:rPr>
          <w:rFonts w:asciiTheme="minorHAnsi" w:hAnsiTheme="minorHAnsi" w:cstheme="minorHAnsi"/>
          <w:color w:val="auto"/>
          <w:sz w:val="20"/>
          <w:szCs w:val="20"/>
          <w:lang w:val="en-US"/>
        </w:rPr>
        <w:t xml:space="preserve">The European Commission for the Efficiency of Justice (CEPEJ) regularly collects data on judicial systems. These data concern in particular the “quality of justice” (B part below), “efficiency of justice systems” (C part below) and also some aspects of “independence” (A part below). </w:t>
      </w:r>
    </w:p>
    <w:p w14:paraId="69838116" w14:textId="77777777" w:rsidR="00CF2C22" w:rsidRPr="00CF2C22" w:rsidRDefault="00CF2C22" w:rsidP="00CF2C22">
      <w:pPr>
        <w:shd w:val="clear" w:color="auto" w:fill="FFFFFF"/>
        <w:spacing w:before="100" w:beforeAutospacing="1" w:after="100" w:afterAutospacing="1"/>
        <w:rPr>
          <w:rFonts w:cstheme="minorHAnsi"/>
          <w:color w:val="161616"/>
          <w:lang w:val="en-US"/>
        </w:rPr>
      </w:pPr>
      <w:r w:rsidRPr="00CF2C22">
        <w:rPr>
          <w:rFonts w:cstheme="minorHAnsi"/>
          <w:lang w:val="en-US"/>
        </w:rPr>
        <w:t>The 2023 data have not been collected and quality checked in 2023. Nevertheless, CEPEJ published in 2023 country profiles for each EU country, based on 2021 data, and prepared in the framework of CEPEJ Study for the 2023 EU Justice Scoreboard</w:t>
      </w:r>
      <w:r w:rsidRPr="00CF2C22">
        <w:rPr>
          <w:rFonts w:cstheme="minorHAnsi"/>
          <w:color w:val="161616"/>
          <w:lang w:val="en-US"/>
        </w:rPr>
        <w:t xml:space="preserve"> </w:t>
      </w:r>
      <w:hyperlink r:id="rId9" w:history="1">
        <w:r w:rsidRPr="00CF2C22">
          <w:rPr>
            <w:rStyle w:val="Hyperlink"/>
            <w:rFonts w:cstheme="minorHAnsi"/>
            <w:color w:val="007BC8"/>
            <w:lang w:val="en-US"/>
          </w:rPr>
          <w:t>CEPEJ Country fiche - Scoreboard - Lithuania</w:t>
        </w:r>
      </w:hyperlink>
    </w:p>
    <w:p w14:paraId="74FC0D2B" w14:textId="77777777" w:rsidR="00CF2C22" w:rsidRPr="00CF2C22" w:rsidRDefault="00CF2C22" w:rsidP="00CF2C22">
      <w:pPr>
        <w:pStyle w:val="Default"/>
        <w:jc w:val="both"/>
        <w:rPr>
          <w:rFonts w:asciiTheme="minorHAnsi" w:hAnsiTheme="minorHAnsi" w:cstheme="minorHAnsi"/>
          <w:color w:val="auto"/>
          <w:sz w:val="20"/>
          <w:szCs w:val="20"/>
          <w:lang w:val="en-US"/>
        </w:rPr>
      </w:pPr>
      <w:r w:rsidRPr="00CF2C22">
        <w:rPr>
          <w:rFonts w:asciiTheme="minorHAnsi" w:hAnsiTheme="minorHAnsi" w:cstheme="minorHAnsi"/>
          <w:color w:val="auto"/>
          <w:sz w:val="20"/>
          <w:szCs w:val="20"/>
          <w:lang w:val="en-US"/>
        </w:rPr>
        <w:t>The 2022 data have been collected, quality checked and sent to DG-JUST in the framework of the 2024 EU Justice Scoreboard. The publication of the country profiles based on 2022 data will depend on final acceptation of the CEPEJ Study by DG-JUST. The CEPEJ Secretariat (</w:t>
      </w:r>
      <w:hyperlink r:id="rId10" w:history="1">
        <w:r w:rsidRPr="00CF2C22">
          <w:rPr>
            <w:rStyle w:val="Hyperlink"/>
            <w:rFonts w:asciiTheme="minorHAnsi" w:hAnsiTheme="minorHAnsi" w:cstheme="minorHAnsi"/>
            <w:sz w:val="20"/>
            <w:szCs w:val="20"/>
            <w:lang w:val="en-US"/>
          </w:rPr>
          <w:t>christel.schurrer@coe.int</w:t>
        </w:r>
      </w:hyperlink>
      <w:r w:rsidRPr="00CF2C22">
        <w:rPr>
          <w:rFonts w:asciiTheme="minorHAnsi" w:hAnsiTheme="minorHAnsi" w:cstheme="minorHAnsi"/>
          <w:color w:val="auto"/>
          <w:sz w:val="20"/>
          <w:szCs w:val="20"/>
          <w:lang w:val="en-US"/>
        </w:rPr>
        <w:t xml:space="preserve">)  remains at the disposal of European Commission for any question related to these data. </w:t>
      </w:r>
    </w:p>
    <w:p w14:paraId="6C8E9AEB" w14:textId="19C848F2" w:rsidR="006567AC" w:rsidRPr="00AC53B5" w:rsidRDefault="006567AC" w:rsidP="006567AC">
      <w:pPr>
        <w:rPr>
          <w:lang w:val="en-US"/>
        </w:rPr>
      </w:pPr>
    </w:p>
    <w:p w14:paraId="099764BC" w14:textId="10003D71" w:rsidR="00AC53B5" w:rsidRPr="003125C4" w:rsidRDefault="00AC53B5" w:rsidP="00AC53B5">
      <w:pPr>
        <w:rPr>
          <w:lang w:val="en-US"/>
        </w:rPr>
      </w:pPr>
    </w:p>
    <w:p w14:paraId="17FBDAAF" w14:textId="0783615B" w:rsidR="0064580E" w:rsidRDefault="00AC53B5" w:rsidP="00AC53B5">
      <w:pPr>
        <w:rPr>
          <w:lang w:val="en-US"/>
        </w:rPr>
      </w:pPr>
      <w:r>
        <w:rPr>
          <w:lang w:val="en-US"/>
        </w:rPr>
        <w:t xml:space="preserve">Execution of judgments in </w:t>
      </w:r>
      <w:hyperlink r:id="rId11" w:history="1">
        <w:r w:rsidRPr="00AC53B5">
          <w:rPr>
            <w:rStyle w:val="Hyperlink"/>
            <w:lang w:val="en-US"/>
          </w:rPr>
          <w:t>Lithuania</w:t>
        </w:r>
      </w:hyperlink>
      <w:r>
        <w:rPr>
          <w:lang w:val="en-US"/>
        </w:rPr>
        <w:t xml:space="preserve"> </w:t>
      </w:r>
    </w:p>
    <w:p w14:paraId="563A9F39" w14:textId="77777777" w:rsidR="00F95C71" w:rsidRDefault="00F95C71" w:rsidP="00AC53B5">
      <w:pPr>
        <w:rPr>
          <w:lang w:val="en-US"/>
        </w:rPr>
      </w:pPr>
    </w:p>
    <w:p w14:paraId="174F15DA" w14:textId="77777777" w:rsidR="00F95C71" w:rsidRPr="00F95C71" w:rsidRDefault="00F95C71" w:rsidP="00F95C71">
      <w:pPr>
        <w:autoSpaceDE w:val="0"/>
        <w:autoSpaceDN w:val="0"/>
        <w:adjustRightInd w:val="0"/>
        <w:spacing w:after="86"/>
        <w:jc w:val="both"/>
        <w:rPr>
          <w:rFonts w:eastAsia="Calibri" w:cstheme="minorHAnsi"/>
          <w:i/>
          <w:iCs/>
          <w:lang w:val="en-GB"/>
        </w:rPr>
      </w:pPr>
      <w:r w:rsidRPr="00F95C71">
        <w:rPr>
          <w:rFonts w:eastAsia="Calibri" w:cstheme="minorHAnsi"/>
          <w:i/>
          <w:iCs/>
          <w:lang w:val="en-GB"/>
        </w:rPr>
        <w:t xml:space="preserve">-Remuneration/bonuses for judges and prosecutors </w:t>
      </w:r>
    </w:p>
    <w:p w14:paraId="50061626" w14:textId="77777777" w:rsidR="00F95C71" w:rsidRPr="00F95C71" w:rsidRDefault="00F95C71" w:rsidP="00F95C71">
      <w:pPr>
        <w:jc w:val="both"/>
        <w:rPr>
          <w:rFonts w:eastAsia="Calibri" w:cstheme="minorHAnsi"/>
          <w:color w:val="000000"/>
          <w:lang w:val="en-GB"/>
        </w:rPr>
      </w:pPr>
      <w:proofErr w:type="spellStart"/>
      <w:r w:rsidRPr="00F95C71">
        <w:rPr>
          <w:rFonts w:eastAsia="Calibri" w:cstheme="minorHAnsi"/>
          <w:u w:val="single"/>
          <w:lang w:val="en-GB"/>
        </w:rPr>
        <w:t>Anzelika</w:t>
      </w:r>
      <w:proofErr w:type="spellEnd"/>
      <w:r w:rsidRPr="00F95C71">
        <w:rPr>
          <w:rFonts w:eastAsia="Calibri" w:cstheme="minorHAnsi"/>
          <w:u w:val="single"/>
          <w:lang w:val="en-GB"/>
        </w:rPr>
        <w:t xml:space="preserve"> </w:t>
      </w:r>
      <w:proofErr w:type="spellStart"/>
      <w:r w:rsidRPr="00F95C71">
        <w:rPr>
          <w:rFonts w:eastAsia="Calibri" w:cstheme="minorHAnsi"/>
          <w:u w:val="single"/>
          <w:lang w:val="en-GB"/>
        </w:rPr>
        <w:t>Simaitiene</w:t>
      </w:r>
      <w:proofErr w:type="spellEnd"/>
      <w:r w:rsidRPr="00F95C71">
        <w:rPr>
          <w:rFonts w:eastAsia="Calibri" w:cstheme="minorHAnsi"/>
          <w:u w:val="single"/>
          <w:lang w:val="en-GB"/>
        </w:rPr>
        <w:t> v Lithuania (36093/13) (STAND)</w:t>
      </w:r>
      <w:r w:rsidRPr="00F95C71">
        <w:rPr>
          <w:rFonts w:eastAsia="Calibri" w:cstheme="minorHAnsi"/>
          <w:i/>
          <w:iCs/>
          <w:lang w:val="en-GB"/>
        </w:rPr>
        <w:t xml:space="preserve">: </w:t>
      </w:r>
      <w:r w:rsidRPr="00F95C71">
        <w:rPr>
          <w:rFonts w:eastAsia="Calibri" w:cstheme="minorHAnsi"/>
          <w:lang w:val="en-GB"/>
        </w:rPr>
        <w:t xml:space="preserve">This case concerns the non-payment of salaries of a former judge during her suspension from duties (from </w:t>
      </w:r>
      <w:r w:rsidRPr="00F95C71">
        <w:rPr>
          <w:rFonts w:eastAsia="Calibri" w:cstheme="minorHAnsi"/>
          <w:color w:val="000000"/>
          <w:lang w:val="en-GB"/>
        </w:rPr>
        <w:t>2006 to 2011) due to criminal proceedings that eventually ended as time-barred in 2012 (violation of Article 1 of Protocol no. 1).</w:t>
      </w:r>
    </w:p>
    <w:p w14:paraId="148C945D" w14:textId="77777777" w:rsidR="00F95C71" w:rsidRPr="00F95C71" w:rsidRDefault="00F95C71" w:rsidP="00F95C71">
      <w:pPr>
        <w:jc w:val="both"/>
        <w:rPr>
          <w:rFonts w:eastAsia="Calibri" w:cstheme="minorHAnsi"/>
          <w:lang w:val="en-GB"/>
        </w:rPr>
      </w:pPr>
    </w:p>
    <w:p w14:paraId="70245E1E" w14:textId="77777777" w:rsidR="00F95C71" w:rsidRPr="00F95C71" w:rsidRDefault="00F95C71" w:rsidP="00F95C71">
      <w:pPr>
        <w:autoSpaceDE w:val="0"/>
        <w:autoSpaceDN w:val="0"/>
        <w:adjustRightInd w:val="0"/>
        <w:spacing w:after="86"/>
        <w:jc w:val="both"/>
        <w:rPr>
          <w:rFonts w:eastAsia="Calibri" w:cstheme="minorHAnsi"/>
          <w:color w:val="0000FF"/>
          <w:u w:val="single"/>
          <w:lang w:val="en-GB"/>
        </w:rPr>
      </w:pPr>
      <w:r w:rsidRPr="00F95C71">
        <w:rPr>
          <w:rFonts w:eastAsia="Calibri" w:cstheme="minorHAnsi"/>
          <w:lang w:val="en-GB"/>
        </w:rPr>
        <w:t xml:space="preserve">Presentation on </w:t>
      </w:r>
      <w:proofErr w:type="spellStart"/>
      <w:r w:rsidRPr="00F95C71">
        <w:rPr>
          <w:rFonts w:eastAsia="Calibri" w:cstheme="minorHAnsi"/>
          <w:lang w:val="en-GB"/>
        </w:rPr>
        <w:t>Hudoc.exec</w:t>
      </w:r>
      <w:proofErr w:type="spellEnd"/>
      <w:r w:rsidRPr="00F95C71">
        <w:rPr>
          <w:rFonts w:eastAsia="Calibri" w:cstheme="minorHAnsi"/>
          <w:lang w:val="en-GB"/>
        </w:rPr>
        <w:t xml:space="preserve">: </w:t>
      </w:r>
      <w:hyperlink r:id="rId12" w:history="1">
        <w:proofErr w:type="spellStart"/>
        <w:r w:rsidRPr="00F95C71">
          <w:rPr>
            <w:rFonts w:eastAsia="Calibri" w:cstheme="minorHAnsi"/>
            <w:color w:val="0000FF"/>
            <w:u w:val="single"/>
            <w:lang w:val="en-GB"/>
          </w:rPr>
          <w:t>Anzelika</w:t>
        </w:r>
        <w:proofErr w:type="spellEnd"/>
        <w:r w:rsidRPr="00F95C71">
          <w:rPr>
            <w:rFonts w:eastAsia="Calibri" w:cstheme="minorHAnsi"/>
            <w:color w:val="0000FF"/>
            <w:u w:val="single"/>
            <w:lang w:val="en-GB"/>
          </w:rPr>
          <w:t xml:space="preserve"> </w:t>
        </w:r>
        <w:proofErr w:type="spellStart"/>
        <w:r w:rsidRPr="00F95C71">
          <w:rPr>
            <w:rFonts w:eastAsia="Calibri" w:cstheme="minorHAnsi"/>
            <w:color w:val="0000FF"/>
            <w:u w:val="single"/>
            <w:lang w:val="en-GB"/>
          </w:rPr>
          <w:t>Simaitiene</w:t>
        </w:r>
        <w:proofErr w:type="spellEnd"/>
        <w:r w:rsidRPr="00F95C71">
          <w:rPr>
            <w:rFonts w:eastAsia="Calibri" w:cstheme="minorHAnsi"/>
            <w:i/>
            <w:iCs/>
            <w:color w:val="0000FF"/>
            <w:u w:val="single"/>
            <w:lang w:val="en-GB"/>
          </w:rPr>
          <w:t> </w:t>
        </w:r>
        <w:r w:rsidRPr="00F95C71" w:rsidDel="006E24D6">
          <w:rPr>
            <w:rFonts w:eastAsia="Calibri" w:cstheme="minorHAnsi"/>
            <w:i/>
            <w:iCs/>
            <w:color w:val="0000FF"/>
            <w:u w:val="single"/>
            <w:lang w:val="en-GB"/>
          </w:rPr>
          <w:t xml:space="preserve"> </w:t>
        </w:r>
      </w:hyperlink>
      <w:r w:rsidRPr="00F95C71">
        <w:rPr>
          <w:rFonts w:eastAsia="Calibri" w:cstheme="minorHAnsi"/>
          <w:i/>
          <w:iCs/>
          <w:color w:val="0000FF"/>
          <w:u w:val="single"/>
          <w:lang w:val="en-GB"/>
        </w:rPr>
        <w:t xml:space="preserve"> </w:t>
      </w:r>
    </w:p>
    <w:bookmarkStart w:id="1" w:name="_Hlk152940656"/>
    <w:p w14:paraId="3E3B96CA" w14:textId="77777777" w:rsidR="00F95C71" w:rsidRPr="00F95C71" w:rsidRDefault="00F95C71" w:rsidP="00F95C71">
      <w:pPr>
        <w:spacing w:line="259" w:lineRule="auto"/>
        <w:jc w:val="both"/>
        <w:rPr>
          <w:rFonts w:cstheme="minorHAnsi"/>
          <w:lang w:val="en-GB"/>
        </w:rPr>
      </w:pPr>
      <w:r w:rsidRPr="00F95C71">
        <w:rPr>
          <w:rFonts w:cstheme="minorHAnsi"/>
          <w:sz w:val="22"/>
          <w:szCs w:val="22"/>
        </w:rPr>
        <w:fldChar w:fldCharType="begin"/>
      </w:r>
      <w:r w:rsidRPr="00F95C71">
        <w:rPr>
          <w:rFonts w:cstheme="minorHAnsi"/>
          <w:lang w:val="en-GB"/>
        </w:rPr>
        <w:instrText>HYPERLINK "https://hudoc.exec.coe.int/FRE" \l "{%22fulltext%22:[%22McFarlane%22],%22display%22:[2],%22EXECIdentifier%22:[%22CM/Del/Dec(2020)1383/H46-10E%22]}"</w:instrText>
      </w:r>
      <w:r w:rsidRPr="00F95C71">
        <w:rPr>
          <w:rFonts w:cstheme="minorHAnsi"/>
          <w:sz w:val="22"/>
          <w:szCs w:val="22"/>
        </w:rPr>
      </w:r>
      <w:r w:rsidRPr="00F95C71">
        <w:rPr>
          <w:rFonts w:cstheme="minorHAnsi"/>
          <w:sz w:val="22"/>
          <w:szCs w:val="22"/>
        </w:rPr>
        <w:fldChar w:fldCharType="separate"/>
      </w:r>
      <w:r w:rsidRPr="00F95C71">
        <w:rPr>
          <w:rFonts w:cstheme="minorHAnsi"/>
          <w:lang w:val="en-GB"/>
        </w:rPr>
        <w:t>Latest decisions</w:t>
      </w:r>
      <w:r w:rsidRPr="00F95C71">
        <w:rPr>
          <w:rFonts w:cstheme="minorHAnsi"/>
          <w:lang w:val="en-GB"/>
        </w:rPr>
        <w:fldChar w:fldCharType="end"/>
      </w:r>
      <w:r w:rsidRPr="00F95C71">
        <w:rPr>
          <w:rFonts w:cstheme="minorHAnsi"/>
          <w:lang w:val="en-GB"/>
        </w:rPr>
        <w:t>: n/a</w:t>
      </w:r>
    </w:p>
    <w:bookmarkEnd w:id="1"/>
    <w:p w14:paraId="0FDCF813" w14:textId="7700BCCC" w:rsidR="00583DB4" w:rsidRPr="00B16AF1" w:rsidRDefault="00F95C71" w:rsidP="00B16AF1">
      <w:pPr>
        <w:autoSpaceDE w:val="0"/>
        <w:autoSpaceDN w:val="0"/>
        <w:adjustRightInd w:val="0"/>
        <w:spacing w:after="86"/>
        <w:jc w:val="both"/>
        <w:rPr>
          <w:rFonts w:eastAsia="Calibri" w:cstheme="minorHAnsi"/>
          <w:color w:val="0000FF"/>
          <w:u w:val="single"/>
          <w:lang w:val="en-GB"/>
        </w:rPr>
      </w:pPr>
      <w:r w:rsidRPr="00F95C71">
        <w:rPr>
          <w:rFonts w:eastAsia="Calibri" w:cstheme="minorHAnsi"/>
          <w:lang w:val="en-GB"/>
        </w:rPr>
        <w:t xml:space="preserve">Latest information: </w:t>
      </w:r>
      <w:hyperlink r:id="rId13" w:history="1">
        <w:r w:rsidRPr="00F95C71">
          <w:rPr>
            <w:rStyle w:val="Hyperlink"/>
            <w:rFonts w:cstheme="minorHAnsi"/>
            <w:lang w:val="en-US"/>
          </w:rPr>
          <w:t xml:space="preserve">DH-DD(2021)395 </w:t>
        </w:r>
      </w:hyperlink>
      <w:r w:rsidRPr="00F95C71">
        <w:rPr>
          <w:rFonts w:cstheme="minorHAnsi"/>
          <w:lang w:val="en-US"/>
        </w:rPr>
        <w:t xml:space="preserve"> </w:t>
      </w:r>
    </w:p>
    <w:p w14:paraId="770374C3" w14:textId="77777777" w:rsidR="003125C4" w:rsidRDefault="004A628B" w:rsidP="004A628B">
      <w:pPr>
        <w:pStyle w:val="Heading1"/>
        <w:rPr>
          <w:lang w:val="en-US"/>
        </w:rPr>
      </w:pPr>
      <w:bookmarkStart w:id="2" w:name="_Toc36635832"/>
      <w:r>
        <w:rPr>
          <w:lang w:val="en-US"/>
        </w:rPr>
        <w:t xml:space="preserve">II </w:t>
      </w:r>
      <w:r w:rsidRPr="00546B57">
        <w:rPr>
          <w:lang w:val="en-US"/>
        </w:rPr>
        <w:t>Anti-corruption framework</w:t>
      </w:r>
      <w:bookmarkEnd w:id="2"/>
    </w:p>
    <w:p w14:paraId="5AA362A9" w14:textId="6C9591A9" w:rsidR="003125C4" w:rsidRDefault="003125C4" w:rsidP="003125C4">
      <w:pPr>
        <w:autoSpaceDE w:val="0"/>
        <w:autoSpaceDN w:val="0"/>
        <w:adjustRightInd w:val="0"/>
        <w:jc w:val="both"/>
        <w:rPr>
          <w:rFonts w:eastAsiaTheme="minorHAnsi" w:cstheme="minorHAnsi"/>
          <w:lang w:val="en-GB"/>
        </w:rPr>
      </w:pPr>
    </w:p>
    <w:p w14:paraId="4101F043" w14:textId="0F3A5131" w:rsidR="00B16AF1" w:rsidRDefault="00B16AF1" w:rsidP="003125C4">
      <w:pPr>
        <w:autoSpaceDE w:val="0"/>
        <w:autoSpaceDN w:val="0"/>
        <w:adjustRightInd w:val="0"/>
        <w:jc w:val="both"/>
        <w:rPr>
          <w:rFonts w:eastAsiaTheme="minorHAnsi" w:cstheme="minorHAnsi"/>
          <w:lang w:val="en-GB"/>
        </w:rPr>
      </w:pPr>
      <w:r>
        <w:rPr>
          <w:rFonts w:eastAsiaTheme="minorHAnsi" w:cstheme="minorHAnsi"/>
          <w:lang w:val="en-GB"/>
        </w:rPr>
        <w:t>MONEYVAL</w:t>
      </w:r>
    </w:p>
    <w:p w14:paraId="30AEA5B3" w14:textId="3113CB6F" w:rsidR="00B16AF1" w:rsidRPr="00B16AF1" w:rsidRDefault="00000000" w:rsidP="00B16AF1">
      <w:pPr>
        <w:pStyle w:val="Default"/>
        <w:rPr>
          <w:rFonts w:asciiTheme="minorHAnsi" w:hAnsiTheme="minorHAnsi" w:cstheme="minorHAnsi"/>
          <w:color w:val="auto"/>
          <w:sz w:val="20"/>
          <w:szCs w:val="20"/>
          <w:lang w:val="en-US"/>
        </w:rPr>
      </w:pPr>
      <w:hyperlink r:id="rId14" w:history="1">
        <w:r w:rsidR="00B16AF1" w:rsidRPr="00B16AF1">
          <w:rPr>
            <w:rStyle w:val="Hyperlink"/>
            <w:rFonts w:asciiTheme="minorHAnsi" w:hAnsiTheme="minorHAnsi" w:cstheme="minorHAnsi"/>
            <w:sz w:val="20"/>
            <w:szCs w:val="20"/>
            <w:lang w:val="en-US"/>
          </w:rPr>
          <w:t>3rd Enhanced Follow-up Report &amp; Technical Compliance Re-Rating</w:t>
        </w:r>
      </w:hyperlink>
    </w:p>
    <w:p w14:paraId="4B49780D" w14:textId="77777777" w:rsidR="00B16AF1" w:rsidRPr="00B16AF1" w:rsidRDefault="00B16AF1" w:rsidP="003125C4">
      <w:pPr>
        <w:autoSpaceDE w:val="0"/>
        <w:autoSpaceDN w:val="0"/>
        <w:adjustRightInd w:val="0"/>
        <w:jc w:val="both"/>
        <w:rPr>
          <w:rFonts w:eastAsiaTheme="minorHAnsi" w:cstheme="minorHAnsi"/>
          <w:lang w:val="en-US"/>
        </w:rPr>
      </w:pPr>
    </w:p>
    <w:p w14:paraId="5C79AE80" w14:textId="2E330995" w:rsidR="004A628B" w:rsidRDefault="004A628B" w:rsidP="004A628B">
      <w:pPr>
        <w:pStyle w:val="Heading1"/>
        <w:rPr>
          <w:lang w:val="en-US"/>
        </w:rPr>
      </w:pPr>
      <w:r w:rsidRPr="00546B57">
        <w:rPr>
          <w:lang w:val="en-US"/>
        </w:rPr>
        <w:lastRenderedPageBreak/>
        <w:t xml:space="preserve"> </w:t>
      </w:r>
    </w:p>
    <w:p w14:paraId="4328586A" w14:textId="77777777" w:rsidR="004A628B" w:rsidRPr="00546B57" w:rsidRDefault="004A628B" w:rsidP="004A628B">
      <w:pPr>
        <w:pStyle w:val="Default"/>
        <w:ind w:left="1080"/>
        <w:rPr>
          <w:color w:val="auto"/>
          <w:sz w:val="22"/>
          <w:szCs w:val="22"/>
          <w:lang w:val="en-US"/>
        </w:rPr>
      </w:pPr>
    </w:p>
    <w:p w14:paraId="3F060345" w14:textId="300DA87F" w:rsidR="004A628B" w:rsidRDefault="001D0AE0" w:rsidP="004A628B">
      <w:pPr>
        <w:pStyle w:val="Heading1"/>
        <w:rPr>
          <w:lang w:val="en-US"/>
        </w:rPr>
      </w:pPr>
      <w:bookmarkStart w:id="3" w:name="_Toc36635845"/>
      <w:r>
        <w:rPr>
          <w:lang w:val="en-US"/>
        </w:rPr>
        <w:t xml:space="preserve">III </w:t>
      </w:r>
      <w:r w:rsidR="004A628B" w:rsidRPr="00546B57">
        <w:rPr>
          <w:lang w:val="en-US"/>
        </w:rPr>
        <w:t>Media pluralism</w:t>
      </w:r>
      <w:bookmarkEnd w:id="3"/>
      <w:r w:rsidR="004A628B" w:rsidRPr="00546B57">
        <w:rPr>
          <w:lang w:val="en-US"/>
        </w:rPr>
        <w:t xml:space="preserve"> </w:t>
      </w:r>
    </w:p>
    <w:p w14:paraId="64B8480E" w14:textId="35184B8D" w:rsidR="004A628B" w:rsidRDefault="004A628B" w:rsidP="00522F99">
      <w:pPr>
        <w:pStyle w:val="Default"/>
        <w:rPr>
          <w:color w:val="auto"/>
          <w:sz w:val="22"/>
          <w:szCs w:val="22"/>
          <w:lang w:val="en-US"/>
        </w:rPr>
      </w:pPr>
    </w:p>
    <w:p w14:paraId="1F9E9FDA" w14:textId="77777777" w:rsidR="00C80925" w:rsidRPr="00C80925" w:rsidRDefault="00000000" w:rsidP="00C80925">
      <w:pPr>
        <w:widowControl w:val="0"/>
        <w:suppressAutoHyphens/>
        <w:jc w:val="both"/>
        <w:rPr>
          <w:rFonts w:eastAsiaTheme="minorHAnsi" w:cstheme="minorHAnsi"/>
          <w:b/>
          <w:bCs/>
          <w:lang w:val="en-GB"/>
        </w:rPr>
      </w:pPr>
      <w:hyperlink r:id="rId15" w:anchor="%7B%22tabview%22:%5B%22document%22%5D,%22itemid%22:%5B%22001-226471%22%5D%7D" w:history="1">
        <w:r w:rsidR="00C80925" w:rsidRPr="00C80925">
          <w:rPr>
            <w:rStyle w:val="Hyperlink"/>
            <w:rFonts w:eastAsiaTheme="minorHAnsi" w:cstheme="minorHAnsi"/>
            <w:b/>
            <w:bCs/>
            <w:lang w:val="en-GB"/>
          </w:rPr>
          <w:t>CASE OF EIGIRDAS AND VĮ "DEMOKRATIJOS PLĖTROS FONDAS" v. LITHUANIA</w:t>
        </w:r>
      </w:hyperlink>
      <w:r w:rsidR="00C80925" w:rsidRPr="00C80925">
        <w:rPr>
          <w:rFonts w:eastAsiaTheme="minorHAnsi" w:cstheme="minorHAnsi"/>
          <w:b/>
          <w:bCs/>
          <w:lang w:val="en-GB"/>
        </w:rPr>
        <w:t xml:space="preserve"> </w:t>
      </w:r>
    </w:p>
    <w:p w14:paraId="236737A1" w14:textId="77777777" w:rsidR="00C80925" w:rsidRPr="00C80925" w:rsidRDefault="00C80925" w:rsidP="00C80925">
      <w:pPr>
        <w:jc w:val="both"/>
        <w:rPr>
          <w:rFonts w:eastAsiaTheme="minorHAnsi" w:cstheme="minorHAnsi"/>
          <w:lang w:val="en-GB"/>
        </w:rPr>
      </w:pPr>
      <w:r w:rsidRPr="00C80925">
        <w:rPr>
          <w:rFonts w:eastAsiaTheme="minorHAnsi" w:cstheme="minorHAnsi"/>
          <w:lang w:val="en-GB"/>
        </w:rPr>
        <w:t xml:space="preserve">The case involves </w:t>
      </w:r>
      <w:proofErr w:type="spellStart"/>
      <w:r w:rsidRPr="00C80925">
        <w:rPr>
          <w:rFonts w:eastAsiaTheme="minorHAnsi" w:cstheme="minorHAnsi"/>
          <w:lang w:val="en-GB"/>
        </w:rPr>
        <w:t>Eduardas</w:t>
      </w:r>
      <w:proofErr w:type="spellEnd"/>
      <w:r w:rsidRPr="00C80925">
        <w:rPr>
          <w:rFonts w:eastAsiaTheme="minorHAnsi" w:cstheme="minorHAnsi"/>
          <w:lang w:val="en-GB"/>
        </w:rPr>
        <w:t xml:space="preserve"> </w:t>
      </w:r>
      <w:proofErr w:type="spellStart"/>
      <w:r w:rsidRPr="00C80925">
        <w:rPr>
          <w:rFonts w:eastAsiaTheme="minorHAnsi" w:cstheme="minorHAnsi"/>
          <w:lang w:val="en-GB"/>
        </w:rPr>
        <w:t>Eigirdas</w:t>
      </w:r>
      <w:proofErr w:type="spellEnd"/>
      <w:r w:rsidRPr="00C80925">
        <w:rPr>
          <w:rFonts w:eastAsiaTheme="minorHAnsi" w:cstheme="minorHAnsi"/>
          <w:lang w:val="en-GB"/>
        </w:rPr>
        <w:t xml:space="preserve">, a regular opinion writer for a Lithuanian magazine. </w:t>
      </w:r>
      <w:proofErr w:type="spellStart"/>
      <w:r w:rsidRPr="00C80925">
        <w:rPr>
          <w:rFonts w:eastAsiaTheme="minorHAnsi" w:cstheme="minorHAnsi"/>
          <w:lang w:val="en-GB"/>
        </w:rPr>
        <w:t>Eigirdas</w:t>
      </w:r>
      <w:proofErr w:type="spellEnd"/>
      <w:r w:rsidRPr="00C80925">
        <w:rPr>
          <w:rFonts w:eastAsiaTheme="minorHAnsi" w:cstheme="minorHAnsi"/>
          <w:lang w:val="en-GB"/>
        </w:rPr>
        <w:t xml:space="preserve"> wrote two articles; one included </w:t>
      </w:r>
      <w:bookmarkStart w:id="4" w:name="_Int_YiPV4cCg"/>
      <w:r w:rsidRPr="00C80925">
        <w:rPr>
          <w:rFonts w:eastAsiaTheme="minorHAnsi" w:cstheme="minorHAnsi"/>
          <w:lang w:val="en-GB"/>
        </w:rPr>
        <w:t>allegations</w:t>
      </w:r>
      <w:bookmarkEnd w:id="4"/>
      <w:r w:rsidRPr="00C80925">
        <w:rPr>
          <w:rFonts w:eastAsiaTheme="minorHAnsi" w:cstheme="minorHAnsi"/>
          <w:lang w:val="en-GB"/>
        </w:rPr>
        <w:t xml:space="preserve"> against V.M., a prominent business owner and politician and the latter related to D.M, V.M’s son. The Public Information Ethics Commission upheld V.M.'s complaint, ordering the magazine to publish its decision and sanctioning the journalist for the second article. </w:t>
      </w:r>
    </w:p>
    <w:p w14:paraId="49CDCF43" w14:textId="77777777" w:rsidR="00C80925" w:rsidRPr="00C80925" w:rsidRDefault="00C80925" w:rsidP="00C80925">
      <w:pPr>
        <w:jc w:val="both"/>
        <w:rPr>
          <w:rFonts w:eastAsiaTheme="minorHAnsi" w:cstheme="minorHAnsi"/>
          <w:lang w:val="en-GB"/>
        </w:rPr>
      </w:pPr>
      <w:r w:rsidRPr="00C80925">
        <w:rPr>
          <w:rFonts w:eastAsiaTheme="minorHAnsi" w:cstheme="minorHAnsi"/>
          <w:lang w:val="en-GB"/>
        </w:rPr>
        <w:t xml:space="preserve">The ECtHR found that both articles were within the limits of freedom of expression and the corresponding sanctions were a violation of Article 10 ECHR. Regarding the first article, it addressed a matter of public interest. Regarding the second article, the sanctions imposed violated Article 10 due to the potential chilling effect this would have.  </w:t>
      </w:r>
    </w:p>
    <w:p w14:paraId="77952AE2" w14:textId="72BA1080" w:rsidR="00C80925" w:rsidRDefault="00C80925" w:rsidP="00C80925">
      <w:pPr>
        <w:widowControl w:val="0"/>
        <w:suppressAutoHyphens/>
        <w:jc w:val="both"/>
        <w:rPr>
          <w:rFonts w:eastAsiaTheme="minorHAnsi" w:cstheme="minorHAnsi"/>
          <w:b/>
          <w:bCs/>
          <w:lang w:val="en-GB"/>
        </w:rPr>
      </w:pPr>
      <w:r w:rsidRPr="00C80925">
        <w:rPr>
          <w:rFonts w:eastAsiaTheme="minorHAnsi" w:cstheme="minorHAnsi"/>
          <w:b/>
          <w:bCs/>
          <w:lang w:val="en-GB"/>
        </w:rPr>
        <w:t>Violation of Article 10 ECHR</w:t>
      </w:r>
    </w:p>
    <w:p w14:paraId="6717F87B" w14:textId="1DA47BCD" w:rsidR="00DE672B" w:rsidRDefault="00DE672B" w:rsidP="00C80925">
      <w:pPr>
        <w:widowControl w:val="0"/>
        <w:suppressAutoHyphens/>
        <w:jc w:val="both"/>
        <w:rPr>
          <w:rFonts w:eastAsiaTheme="minorHAnsi" w:cstheme="minorHAnsi"/>
          <w:b/>
          <w:bCs/>
          <w:lang w:val="en-GB"/>
        </w:rPr>
      </w:pPr>
    </w:p>
    <w:p w14:paraId="653FD449" w14:textId="77777777" w:rsidR="00DE672B" w:rsidRPr="00DE672B" w:rsidRDefault="00000000" w:rsidP="00DE672B">
      <w:pPr>
        <w:widowControl w:val="0"/>
        <w:suppressAutoHyphens/>
        <w:jc w:val="both"/>
        <w:rPr>
          <w:rFonts w:eastAsiaTheme="minorHAnsi" w:cstheme="minorHAnsi"/>
          <w:b/>
          <w:bCs/>
          <w:lang w:val="en-GB"/>
        </w:rPr>
      </w:pPr>
      <w:hyperlink r:id="rId16" w:anchor="%7B%22tabview%22:%5B%22document%22%5D,%22itemid%22:%5B%22001-222072%22%5D%7D">
        <w:r w:rsidR="00DE672B" w:rsidRPr="00DE672B">
          <w:rPr>
            <w:rStyle w:val="Hyperlink"/>
            <w:rFonts w:eastAsiaTheme="minorHAnsi" w:cstheme="minorHAnsi"/>
            <w:b/>
            <w:bCs/>
            <w:lang w:val="en-GB"/>
          </w:rPr>
          <w:t>CASE OF MACATĖ v. LITHUANIA</w:t>
        </w:r>
      </w:hyperlink>
    </w:p>
    <w:p w14:paraId="5CBFD806" w14:textId="77777777" w:rsidR="00DE672B" w:rsidRPr="00DE672B" w:rsidRDefault="00DE672B" w:rsidP="00DE672B">
      <w:pPr>
        <w:jc w:val="both"/>
        <w:rPr>
          <w:rFonts w:eastAsiaTheme="minorHAnsi" w:cstheme="minorHAnsi"/>
          <w:lang w:val="en-GB"/>
        </w:rPr>
      </w:pPr>
      <w:r w:rsidRPr="00DE672B">
        <w:rPr>
          <w:rFonts w:eastAsiaTheme="minorHAnsi" w:cstheme="minorHAnsi"/>
          <w:lang w:val="en-GB"/>
        </w:rPr>
        <w:t xml:space="preserve">The applicant, a children’s author, wrote a book containing fairy tales depicting same sex marriages, racial diversity and other topical issues. Distribution of the book was suspended and then resumed with a mandatory label stating that it may be harmful to younger children. </w:t>
      </w:r>
    </w:p>
    <w:p w14:paraId="46CF4069" w14:textId="77777777" w:rsidR="00DE672B" w:rsidRPr="00DE672B" w:rsidRDefault="00DE672B" w:rsidP="00DE672B">
      <w:pPr>
        <w:jc w:val="both"/>
        <w:rPr>
          <w:rFonts w:eastAsiaTheme="minorHAnsi" w:cstheme="minorHAnsi"/>
          <w:lang w:val="en-GB"/>
        </w:rPr>
      </w:pPr>
      <w:r w:rsidRPr="00DE672B">
        <w:rPr>
          <w:rFonts w:eastAsiaTheme="minorHAnsi" w:cstheme="minorHAnsi"/>
          <w:lang w:val="en-GB"/>
        </w:rPr>
        <w:t xml:space="preserve">The ECtHR found that the Lithuanian law upon which the decision to suspend/distribute the book on different terms did not pursue a legitimate aim, as it sought to limit children’s access to information depicting same-sex relationships as essentially equivalent to different-sex relationships. </w:t>
      </w:r>
    </w:p>
    <w:p w14:paraId="17E6DB02" w14:textId="206FB106" w:rsidR="00DE672B" w:rsidRPr="00DE672B" w:rsidRDefault="00DE672B" w:rsidP="00DE672B">
      <w:pPr>
        <w:widowControl w:val="0"/>
        <w:suppressAutoHyphens/>
        <w:jc w:val="both"/>
        <w:rPr>
          <w:rFonts w:eastAsiaTheme="minorHAnsi" w:cstheme="minorHAnsi"/>
          <w:b/>
          <w:bCs/>
          <w:lang w:val="en-GB"/>
        </w:rPr>
      </w:pPr>
      <w:r w:rsidRPr="00DE672B">
        <w:rPr>
          <w:rFonts w:eastAsiaTheme="minorHAnsi" w:cstheme="minorHAnsi"/>
          <w:b/>
          <w:bCs/>
          <w:lang w:val="en-GB"/>
        </w:rPr>
        <w:t>Violation of Article 10 ECHR</w:t>
      </w:r>
    </w:p>
    <w:p w14:paraId="4A2E1747" w14:textId="77777777" w:rsidR="00DE672B" w:rsidRPr="00C80925" w:rsidRDefault="00DE672B" w:rsidP="00C80925">
      <w:pPr>
        <w:widowControl w:val="0"/>
        <w:suppressAutoHyphens/>
        <w:jc w:val="both"/>
        <w:rPr>
          <w:rFonts w:eastAsiaTheme="minorHAnsi" w:cstheme="minorHAnsi"/>
          <w:lang w:val="en-GB"/>
        </w:rPr>
      </w:pPr>
    </w:p>
    <w:p w14:paraId="4C06DB80" w14:textId="30EEA412" w:rsidR="004A628B" w:rsidRPr="00AC53B5" w:rsidRDefault="004A628B" w:rsidP="00AC53B5">
      <w:pPr>
        <w:autoSpaceDE w:val="0"/>
        <w:autoSpaceDN w:val="0"/>
        <w:adjustRightInd w:val="0"/>
        <w:jc w:val="both"/>
        <w:rPr>
          <w:rFonts w:eastAsiaTheme="minorHAnsi" w:cstheme="minorHAnsi"/>
          <w:lang w:val="en-GB"/>
        </w:rPr>
      </w:pPr>
    </w:p>
    <w:p w14:paraId="3E1F9863" w14:textId="43CAEAE2" w:rsidR="004A628B" w:rsidRDefault="004A628B" w:rsidP="004A628B">
      <w:pPr>
        <w:pStyle w:val="Heading1"/>
        <w:rPr>
          <w:lang w:val="en-US"/>
        </w:rPr>
      </w:pPr>
      <w:bookmarkStart w:id="5" w:name="_Toc36635858"/>
      <w:r>
        <w:rPr>
          <w:lang w:val="en-US"/>
        </w:rPr>
        <w:t>I</w:t>
      </w:r>
      <w:r w:rsidR="001D0AE0">
        <w:rPr>
          <w:lang w:val="en-US"/>
        </w:rPr>
        <w:t>V</w:t>
      </w:r>
      <w:r>
        <w:rPr>
          <w:lang w:val="en-US"/>
        </w:rPr>
        <w:t xml:space="preserve"> </w:t>
      </w:r>
      <w:r w:rsidRPr="00546B57">
        <w:rPr>
          <w:lang w:val="en-US"/>
        </w:rPr>
        <w:t>Other institutional issues related to checks and balances</w:t>
      </w:r>
      <w:bookmarkEnd w:id="5"/>
      <w:r w:rsidRPr="00546B57">
        <w:rPr>
          <w:lang w:val="en-US"/>
        </w:rPr>
        <w:t xml:space="preserve"> </w:t>
      </w:r>
    </w:p>
    <w:p w14:paraId="5AA1BF56" w14:textId="0A361AEA" w:rsidR="00AC53B5" w:rsidRDefault="00AC53B5" w:rsidP="00AC53B5">
      <w:pPr>
        <w:rPr>
          <w:lang w:val="en-US"/>
        </w:rPr>
      </w:pPr>
    </w:p>
    <w:p w14:paraId="58B34039" w14:textId="77777777" w:rsidR="00AC53B5" w:rsidRPr="00AC53B5" w:rsidRDefault="00AC53B5" w:rsidP="00AC53B5">
      <w:pPr>
        <w:rPr>
          <w:lang w:val="en-US"/>
        </w:rPr>
      </w:pPr>
    </w:p>
    <w:p w14:paraId="4B95EA2C" w14:textId="4DC4D9AE" w:rsidR="00F11139" w:rsidRPr="00F11139" w:rsidRDefault="00F11139" w:rsidP="00AC53B5">
      <w:pPr>
        <w:pStyle w:val="Heading2"/>
        <w:rPr>
          <w:lang w:val="en-GB"/>
        </w:rPr>
      </w:pPr>
    </w:p>
    <w:p w14:paraId="30D2EC4D" w14:textId="77777777" w:rsidR="001A0B36" w:rsidRPr="001A0B36" w:rsidRDefault="001A0B36">
      <w:pPr>
        <w:rPr>
          <w:rFonts w:cs="Arial"/>
          <w:color w:val="FFFFFF" w:themeColor="background1"/>
          <w:sz w:val="22"/>
          <w:szCs w:val="22"/>
          <w:shd w:val="clear" w:color="auto" w:fill="1F3864" w:themeFill="accent1" w:themeFillShade="80"/>
          <w:lang w:val="en-GB"/>
        </w:rPr>
      </w:pPr>
    </w:p>
    <w:sectPr w:rsidR="001A0B36" w:rsidRPr="001A0B36" w:rsidSect="007B3B82">
      <w:footerReference w:type="default" r:id="rId17"/>
      <w:footerReference w:type="first" r:id="rId18"/>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CED4E4" w14:textId="77777777" w:rsidR="000830C1" w:rsidRDefault="000830C1" w:rsidP="00857FF1">
      <w:r>
        <w:separator/>
      </w:r>
    </w:p>
  </w:endnote>
  <w:endnote w:type="continuationSeparator" w:id="0">
    <w:p w14:paraId="6B3F6855" w14:textId="77777777" w:rsidR="000830C1" w:rsidRDefault="000830C1" w:rsidP="0085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6044907"/>
      <w:docPartObj>
        <w:docPartGallery w:val="Page Numbers (Bottom of Page)"/>
        <w:docPartUnique/>
      </w:docPartObj>
    </w:sdtPr>
    <w:sdtEndPr>
      <w:rPr>
        <w:sz w:val="16"/>
        <w:szCs w:val="16"/>
      </w:rPr>
    </w:sdtEndPr>
    <w:sdtContent>
      <w:p w14:paraId="6FE33E47" w14:textId="51729852" w:rsidR="0021059A" w:rsidRPr="0021059A" w:rsidRDefault="0021059A">
        <w:pPr>
          <w:pStyle w:val="Footer"/>
          <w:jc w:val="right"/>
          <w:rPr>
            <w:sz w:val="16"/>
            <w:szCs w:val="16"/>
          </w:rPr>
        </w:pPr>
        <w:r w:rsidRPr="0021059A">
          <w:rPr>
            <w:sz w:val="16"/>
            <w:szCs w:val="16"/>
          </w:rPr>
          <w:fldChar w:fldCharType="begin"/>
        </w:r>
        <w:r w:rsidRPr="0021059A">
          <w:rPr>
            <w:sz w:val="16"/>
            <w:szCs w:val="16"/>
          </w:rPr>
          <w:instrText>PAGE   \* MERGEFORMAT</w:instrText>
        </w:r>
        <w:r w:rsidRPr="0021059A">
          <w:rPr>
            <w:sz w:val="16"/>
            <w:szCs w:val="16"/>
          </w:rPr>
          <w:fldChar w:fldCharType="separate"/>
        </w:r>
        <w:r w:rsidRPr="0021059A">
          <w:rPr>
            <w:sz w:val="16"/>
            <w:szCs w:val="16"/>
          </w:rPr>
          <w:t>2</w:t>
        </w:r>
        <w:r w:rsidRPr="0021059A">
          <w:rPr>
            <w:sz w:val="16"/>
            <w:szCs w:val="16"/>
          </w:rPr>
          <w:fldChar w:fldCharType="end"/>
        </w:r>
      </w:p>
    </w:sdtContent>
  </w:sdt>
  <w:p w14:paraId="13BE177D" w14:textId="77777777" w:rsidR="0021059A" w:rsidRDefault="002105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6D93C" w14:textId="1ADF8D41" w:rsidR="007B3B82" w:rsidRDefault="007B3B82">
    <w:pPr>
      <w:pStyle w:val="Footer"/>
      <w:jc w:val="right"/>
    </w:pPr>
  </w:p>
  <w:p w14:paraId="7493B751" w14:textId="77777777" w:rsidR="007B3B82" w:rsidRDefault="007B3B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0223E" w14:textId="77777777" w:rsidR="000830C1" w:rsidRDefault="000830C1" w:rsidP="00857FF1">
      <w:r>
        <w:separator/>
      </w:r>
    </w:p>
  </w:footnote>
  <w:footnote w:type="continuationSeparator" w:id="0">
    <w:p w14:paraId="77B408E5" w14:textId="77777777" w:rsidR="000830C1" w:rsidRDefault="000830C1" w:rsidP="00857F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A7227"/>
    <w:multiLevelType w:val="hybridMultilevel"/>
    <w:tmpl w:val="74F43F0C"/>
    <w:lvl w:ilvl="0" w:tplc="0966CAFA">
      <w:start w:val="1"/>
      <w:numFmt w:val="bullet"/>
      <w:lvlText w:val=""/>
      <w:lvlJc w:val="left"/>
      <w:pPr>
        <w:ind w:left="720" w:hanging="360"/>
      </w:pPr>
      <w:rPr>
        <w:rFonts w:ascii="Symbol" w:hAnsi="Symbol" w:hint="default"/>
      </w:rPr>
    </w:lvl>
    <w:lvl w:ilvl="1" w:tplc="5C16545C">
      <w:start w:val="1"/>
      <w:numFmt w:val="bullet"/>
      <w:lvlText w:val="o"/>
      <w:lvlJc w:val="left"/>
      <w:pPr>
        <w:ind w:left="1440" w:hanging="360"/>
      </w:pPr>
      <w:rPr>
        <w:rFonts w:ascii="Courier New" w:hAnsi="Courier New" w:hint="default"/>
      </w:rPr>
    </w:lvl>
    <w:lvl w:ilvl="2" w:tplc="AC4C8268">
      <w:start w:val="1"/>
      <w:numFmt w:val="bullet"/>
      <w:lvlText w:val=""/>
      <w:lvlJc w:val="left"/>
      <w:pPr>
        <w:ind w:left="2160" w:hanging="360"/>
      </w:pPr>
      <w:rPr>
        <w:rFonts w:ascii="Wingdings" w:hAnsi="Wingdings" w:hint="default"/>
      </w:rPr>
    </w:lvl>
    <w:lvl w:ilvl="3" w:tplc="45068700">
      <w:start w:val="1"/>
      <w:numFmt w:val="bullet"/>
      <w:lvlText w:val=""/>
      <w:lvlJc w:val="left"/>
      <w:pPr>
        <w:ind w:left="2880" w:hanging="360"/>
      </w:pPr>
      <w:rPr>
        <w:rFonts w:ascii="Symbol" w:hAnsi="Symbol" w:hint="default"/>
      </w:rPr>
    </w:lvl>
    <w:lvl w:ilvl="4" w:tplc="B2480920">
      <w:start w:val="1"/>
      <w:numFmt w:val="bullet"/>
      <w:lvlText w:val="o"/>
      <w:lvlJc w:val="left"/>
      <w:pPr>
        <w:ind w:left="3600" w:hanging="360"/>
      </w:pPr>
      <w:rPr>
        <w:rFonts w:ascii="Courier New" w:hAnsi="Courier New" w:hint="default"/>
      </w:rPr>
    </w:lvl>
    <w:lvl w:ilvl="5" w:tplc="4F224776">
      <w:start w:val="1"/>
      <w:numFmt w:val="bullet"/>
      <w:lvlText w:val=""/>
      <w:lvlJc w:val="left"/>
      <w:pPr>
        <w:ind w:left="4320" w:hanging="360"/>
      </w:pPr>
      <w:rPr>
        <w:rFonts w:ascii="Wingdings" w:hAnsi="Wingdings" w:hint="default"/>
      </w:rPr>
    </w:lvl>
    <w:lvl w:ilvl="6" w:tplc="E8E2DDBA">
      <w:start w:val="1"/>
      <w:numFmt w:val="bullet"/>
      <w:lvlText w:val=""/>
      <w:lvlJc w:val="left"/>
      <w:pPr>
        <w:ind w:left="5040" w:hanging="360"/>
      </w:pPr>
      <w:rPr>
        <w:rFonts w:ascii="Symbol" w:hAnsi="Symbol" w:hint="default"/>
      </w:rPr>
    </w:lvl>
    <w:lvl w:ilvl="7" w:tplc="CDC48818">
      <w:start w:val="1"/>
      <w:numFmt w:val="bullet"/>
      <w:lvlText w:val="o"/>
      <w:lvlJc w:val="left"/>
      <w:pPr>
        <w:ind w:left="5760" w:hanging="360"/>
      </w:pPr>
      <w:rPr>
        <w:rFonts w:ascii="Courier New" w:hAnsi="Courier New" w:hint="default"/>
      </w:rPr>
    </w:lvl>
    <w:lvl w:ilvl="8" w:tplc="A796BE2E">
      <w:start w:val="1"/>
      <w:numFmt w:val="bullet"/>
      <w:lvlText w:val=""/>
      <w:lvlJc w:val="left"/>
      <w:pPr>
        <w:ind w:left="6480" w:hanging="360"/>
      </w:pPr>
      <w:rPr>
        <w:rFonts w:ascii="Wingdings" w:hAnsi="Wingdings" w:hint="default"/>
      </w:rPr>
    </w:lvl>
  </w:abstractNum>
  <w:abstractNum w:abstractNumId="1" w15:restartNumberingAfterBreak="0">
    <w:nsid w:val="0725CF48"/>
    <w:multiLevelType w:val="hybridMultilevel"/>
    <w:tmpl w:val="5E68334E"/>
    <w:lvl w:ilvl="0" w:tplc="AFB8AE60">
      <w:start w:val="1"/>
      <w:numFmt w:val="bullet"/>
      <w:lvlText w:val=""/>
      <w:lvlJc w:val="left"/>
      <w:pPr>
        <w:ind w:left="720" w:hanging="360"/>
      </w:pPr>
      <w:rPr>
        <w:rFonts w:ascii="Symbol" w:hAnsi="Symbol" w:hint="default"/>
      </w:rPr>
    </w:lvl>
    <w:lvl w:ilvl="1" w:tplc="06BC95B6">
      <w:start w:val="1"/>
      <w:numFmt w:val="bullet"/>
      <w:lvlText w:val="o"/>
      <w:lvlJc w:val="left"/>
      <w:pPr>
        <w:ind w:left="1440" w:hanging="360"/>
      </w:pPr>
      <w:rPr>
        <w:rFonts w:ascii="Courier New" w:hAnsi="Courier New" w:cs="Times New Roman" w:hint="default"/>
      </w:rPr>
    </w:lvl>
    <w:lvl w:ilvl="2" w:tplc="F87C3A10">
      <w:start w:val="1"/>
      <w:numFmt w:val="bullet"/>
      <w:lvlText w:val=""/>
      <w:lvlJc w:val="left"/>
      <w:pPr>
        <w:ind w:left="2160" w:hanging="360"/>
      </w:pPr>
      <w:rPr>
        <w:rFonts w:ascii="Wingdings" w:hAnsi="Wingdings" w:hint="default"/>
      </w:rPr>
    </w:lvl>
    <w:lvl w:ilvl="3" w:tplc="D0D87B36">
      <w:start w:val="1"/>
      <w:numFmt w:val="bullet"/>
      <w:lvlText w:val=""/>
      <w:lvlJc w:val="left"/>
      <w:pPr>
        <w:ind w:left="2880" w:hanging="360"/>
      </w:pPr>
      <w:rPr>
        <w:rFonts w:ascii="Symbol" w:hAnsi="Symbol" w:hint="default"/>
      </w:rPr>
    </w:lvl>
    <w:lvl w:ilvl="4" w:tplc="5BBE22CA">
      <w:start w:val="1"/>
      <w:numFmt w:val="bullet"/>
      <w:lvlText w:val="o"/>
      <w:lvlJc w:val="left"/>
      <w:pPr>
        <w:ind w:left="3600" w:hanging="360"/>
      </w:pPr>
      <w:rPr>
        <w:rFonts w:ascii="Courier New" w:hAnsi="Courier New" w:cs="Times New Roman" w:hint="default"/>
      </w:rPr>
    </w:lvl>
    <w:lvl w:ilvl="5" w:tplc="EDD239C0">
      <w:start w:val="1"/>
      <w:numFmt w:val="bullet"/>
      <w:lvlText w:val=""/>
      <w:lvlJc w:val="left"/>
      <w:pPr>
        <w:ind w:left="4320" w:hanging="360"/>
      </w:pPr>
      <w:rPr>
        <w:rFonts w:ascii="Wingdings" w:hAnsi="Wingdings" w:hint="default"/>
      </w:rPr>
    </w:lvl>
    <w:lvl w:ilvl="6" w:tplc="DC2E5E98">
      <w:start w:val="1"/>
      <w:numFmt w:val="bullet"/>
      <w:lvlText w:val=""/>
      <w:lvlJc w:val="left"/>
      <w:pPr>
        <w:ind w:left="5040" w:hanging="360"/>
      </w:pPr>
      <w:rPr>
        <w:rFonts w:ascii="Symbol" w:hAnsi="Symbol" w:hint="default"/>
      </w:rPr>
    </w:lvl>
    <w:lvl w:ilvl="7" w:tplc="5E3EFD46">
      <w:start w:val="1"/>
      <w:numFmt w:val="bullet"/>
      <w:lvlText w:val="o"/>
      <w:lvlJc w:val="left"/>
      <w:pPr>
        <w:ind w:left="5760" w:hanging="360"/>
      </w:pPr>
      <w:rPr>
        <w:rFonts w:ascii="Courier New" w:hAnsi="Courier New" w:cs="Times New Roman" w:hint="default"/>
      </w:rPr>
    </w:lvl>
    <w:lvl w:ilvl="8" w:tplc="F91E8188">
      <w:start w:val="1"/>
      <w:numFmt w:val="bullet"/>
      <w:lvlText w:val=""/>
      <w:lvlJc w:val="left"/>
      <w:pPr>
        <w:ind w:left="6480" w:hanging="360"/>
      </w:pPr>
      <w:rPr>
        <w:rFonts w:ascii="Wingdings" w:hAnsi="Wingdings" w:hint="default"/>
      </w:rPr>
    </w:lvl>
  </w:abstractNum>
  <w:abstractNum w:abstractNumId="2" w15:restartNumberingAfterBreak="0">
    <w:nsid w:val="09E76B68"/>
    <w:multiLevelType w:val="hybridMultilevel"/>
    <w:tmpl w:val="240C69B2"/>
    <w:lvl w:ilvl="0" w:tplc="29F4D8F8">
      <w:start w:val="1"/>
      <w:numFmt w:val="decimal"/>
      <w:lvlText w:val="%1."/>
      <w:lvlJc w:val="left"/>
      <w:pPr>
        <w:ind w:left="720" w:hanging="360"/>
      </w:pPr>
    </w:lvl>
    <w:lvl w:ilvl="1" w:tplc="5F9682A0">
      <w:start w:val="1"/>
      <w:numFmt w:val="lowerLetter"/>
      <w:lvlText w:val="%2."/>
      <w:lvlJc w:val="left"/>
      <w:pPr>
        <w:ind w:left="1440" w:hanging="360"/>
      </w:pPr>
    </w:lvl>
    <w:lvl w:ilvl="2" w:tplc="C7220158">
      <w:start w:val="1"/>
      <w:numFmt w:val="lowerRoman"/>
      <w:lvlText w:val="%3."/>
      <w:lvlJc w:val="right"/>
      <w:pPr>
        <w:ind w:left="2160" w:hanging="180"/>
      </w:pPr>
    </w:lvl>
    <w:lvl w:ilvl="3" w:tplc="DF068E62">
      <w:start w:val="1"/>
      <w:numFmt w:val="decimal"/>
      <w:lvlText w:val="%4."/>
      <w:lvlJc w:val="left"/>
      <w:pPr>
        <w:ind w:left="2880" w:hanging="360"/>
      </w:pPr>
    </w:lvl>
    <w:lvl w:ilvl="4" w:tplc="BF00FA22">
      <w:start w:val="1"/>
      <w:numFmt w:val="lowerLetter"/>
      <w:lvlText w:val="%5."/>
      <w:lvlJc w:val="left"/>
      <w:pPr>
        <w:ind w:left="3600" w:hanging="360"/>
      </w:pPr>
    </w:lvl>
    <w:lvl w:ilvl="5" w:tplc="902E99CE">
      <w:start w:val="1"/>
      <w:numFmt w:val="lowerRoman"/>
      <w:lvlText w:val="%6."/>
      <w:lvlJc w:val="right"/>
      <w:pPr>
        <w:ind w:left="4320" w:hanging="180"/>
      </w:pPr>
    </w:lvl>
    <w:lvl w:ilvl="6" w:tplc="2472ABDA">
      <w:start w:val="1"/>
      <w:numFmt w:val="decimal"/>
      <w:lvlText w:val="%7."/>
      <w:lvlJc w:val="left"/>
      <w:pPr>
        <w:ind w:left="5040" w:hanging="360"/>
      </w:pPr>
    </w:lvl>
    <w:lvl w:ilvl="7" w:tplc="5B703CC4">
      <w:start w:val="1"/>
      <w:numFmt w:val="lowerLetter"/>
      <w:lvlText w:val="%8."/>
      <w:lvlJc w:val="left"/>
      <w:pPr>
        <w:ind w:left="5760" w:hanging="360"/>
      </w:pPr>
    </w:lvl>
    <w:lvl w:ilvl="8" w:tplc="8556AECE">
      <w:start w:val="1"/>
      <w:numFmt w:val="lowerRoman"/>
      <w:lvlText w:val="%9."/>
      <w:lvlJc w:val="right"/>
      <w:pPr>
        <w:ind w:left="6480" w:hanging="180"/>
      </w:pPr>
    </w:lvl>
  </w:abstractNum>
  <w:abstractNum w:abstractNumId="3" w15:restartNumberingAfterBreak="0">
    <w:nsid w:val="0A8F53C7"/>
    <w:multiLevelType w:val="hybridMultilevel"/>
    <w:tmpl w:val="6920601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4" w15:restartNumberingAfterBreak="0">
    <w:nsid w:val="0BA85205"/>
    <w:multiLevelType w:val="hybridMultilevel"/>
    <w:tmpl w:val="C56AE67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0D133385"/>
    <w:multiLevelType w:val="hybridMultilevel"/>
    <w:tmpl w:val="6C66E2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11356426"/>
    <w:multiLevelType w:val="hybridMultilevel"/>
    <w:tmpl w:val="0E94A1C8"/>
    <w:lvl w:ilvl="0" w:tplc="692EA0B6">
      <w:start w:val="12"/>
      <w:numFmt w:val="bullet"/>
      <w:lvlText w:val="-"/>
      <w:lvlJc w:val="left"/>
      <w:pPr>
        <w:ind w:left="2520" w:hanging="360"/>
      </w:pPr>
      <w:rPr>
        <w:rFonts w:ascii="Calibri" w:eastAsia="Calibri" w:hAnsi="Calibri" w:cs="Calibri" w:hint="default"/>
      </w:rPr>
    </w:lvl>
    <w:lvl w:ilvl="1" w:tplc="040C0003">
      <w:start w:val="1"/>
      <w:numFmt w:val="bullet"/>
      <w:lvlText w:val="o"/>
      <w:lvlJc w:val="left"/>
      <w:pPr>
        <w:ind w:left="3240" w:hanging="360"/>
      </w:pPr>
      <w:rPr>
        <w:rFonts w:ascii="Courier New" w:hAnsi="Courier New" w:cs="Courier New" w:hint="default"/>
      </w:rPr>
    </w:lvl>
    <w:lvl w:ilvl="2" w:tplc="040C0005">
      <w:start w:val="1"/>
      <w:numFmt w:val="bullet"/>
      <w:lvlText w:val=""/>
      <w:lvlJc w:val="left"/>
      <w:pPr>
        <w:ind w:left="3960" w:hanging="360"/>
      </w:pPr>
      <w:rPr>
        <w:rFonts w:ascii="Wingdings" w:hAnsi="Wingdings" w:hint="default"/>
      </w:rPr>
    </w:lvl>
    <w:lvl w:ilvl="3" w:tplc="040C0001">
      <w:start w:val="1"/>
      <w:numFmt w:val="bullet"/>
      <w:lvlText w:val=""/>
      <w:lvlJc w:val="left"/>
      <w:pPr>
        <w:ind w:left="4680" w:hanging="360"/>
      </w:pPr>
      <w:rPr>
        <w:rFonts w:ascii="Symbol" w:hAnsi="Symbol" w:hint="default"/>
      </w:rPr>
    </w:lvl>
    <w:lvl w:ilvl="4" w:tplc="040C0003">
      <w:start w:val="1"/>
      <w:numFmt w:val="bullet"/>
      <w:lvlText w:val="o"/>
      <w:lvlJc w:val="left"/>
      <w:pPr>
        <w:ind w:left="5400" w:hanging="360"/>
      </w:pPr>
      <w:rPr>
        <w:rFonts w:ascii="Courier New" w:hAnsi="Courier New" w:cs="Courier New" w:hint="default"/>
      </w:rPr>
    </w:lvl>
    <w:lvl w:ilvl="5" w:tplc="040C0005">
      <w:start w:val="1"/>
      <w:numFmt w:val="bullet"/>
      <w:lvlText w:val=""/>
      <w:lvlJc w:val="left"/>
      <w:pPr>
        <w:ind w:left="6120" w:hanging="360"/>
      </w:pPr>
      <w:rPr>
        <w:rFonts w:ascii="Wingdings" w:hAnsi="Wingdings" w:hint="default"/>
      </w:rPr>
    </w:lvl>
    <w:lvl w:ilvl="6" w:tplc="040C0001">
      <w:start w:val="1"/>
      <w:numFmt w:val="bullet"/>
      <w:lvlText w:val=""/>
      <w:lvlJc w:val="left"/>
      <w:pPr>
        <w:ind w:left="6840" w:hanging="360"/>
      </w:pPr>
      <w:rPr>
        <w:rFonts w:ascii="Symbol" w:hAnsi="Symbol" w:hint="default"/>
      </w:rPr>
    </w:lvl>
    <w:lvl w:ilvl="7" w:tplc="040C0003">
      <w:start w:val="1"/>
      <w:numFmt w:val="bullet"/>
      <w:lvlText w:val="o"/>
      <w:lvlJc w:val="left"/>
      <w:pPr>
        <w:ind w:left="7560" w:hanging="360"/>
      </w:pPr>
      <w:rPr>
        <w:rFonts w:ascii="Courier New" w:hAnsi="Courier New" w:cs="Courier New" w:hint="default"/>
      </w:rPr>
    </w:lvl>
    <w:lvl w:ilvl="8" w:tplc="040C0005">
      <w:start w:val="1"/>
      <w:numFmt w:val="bullet"/>
      <w:lvlText w:val=""/>
      <w:lvlJc w:val="left"/>
      <w:pPr>
        <w:ind w:left="8280" w:hanging="360"/>
      </w:pPr>
      <w:rPr>
        <w:rFonts w:ascii="Wingdings" w:hAnsi="Wingdings" w:hint="default"/>
      </w:rPr>
    </w:lvl>
  </w:abstractNum>
  <w:abstractNum w:abstractNumId="7" w15:restartNumberingAfterBreak="0">
    <w:nsid w:val="224036DA"/>
    <w:multiLevelType w:val="hybridMultilevel"/>
    <w:tmpl w:val="F390826C"/>
    <w:lvl w:ilvl="0" w:tplc="E6B2EA2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C3348FD"/>
    <w:multiLevelType w:val="hybridMultilevel"/>
    <w:tmpl w:val="E66E9ED6"/>
    <w:lvl w:ilvl="0" w:tplc="FEDAACE6">
      <w:start w:val="1"/>
      <w:numFmt w:val="bullet"/>
      <w:pStyle w:val="COEHI"/>
      <w:lvlText w:val="–"/>
      <w:lvlJc w:val="left"/>
      <w:pPr>
        <w:tabs>
          <w:tab w:val="num" w:pos="960"/>
        </w:tabs>
        <w:ind w:left="960" w:hanging="480"/>
      </w:pPr>
      <w:rPr>
        <w:rFonts w:ascii="Times New Roman" w:hAnsi="Times New Roman" w:cs="Times New Roman" w:hint="default"/>
        <w:lang w:val="fr-FR"/>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C27BB8"/>
    <w:multiLevelType w:val="hybridMultilevel"/>
    <w:tmpl w:val="1A4EABD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39884890"/>
    <w:multiLevelType w:val="hybridMultilevel"/>
    <w:tmpl w:val="041015EA"/>
    <w:lvl w:ilvl="0" w:tplc="89FAE66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54349106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44025517">
    <w:abstractNumId w:val="5"/>
  </w:num>
  <w:num w:numId="3" w16cid:durableId="36514235">
    <w:abstractNumId w:val="7"/>
  </w:num>
  <w:num w:numId="4" w16cid:durableId="1247957818">
    <w:abstractNumId w:val="6"/>
  </w:num>
  <w:num w:numId="5" w16cid:durableId="2146384403">
    <w:abstractNumId w:val="10"/>
  </w:num>
  <w:num w:numId="6" w16cid:durableId="1723752309">
    <w:abstractNumId w:val="8"/>
  </w:num>
  <w:num w:numId="7" w16cid:durableId="1160584292">
    <w:abstractNumId w:val="8"/>
  </w:num>
  <w:num w:numId="8" w16cid:durableId="154150095">
    <w:abstractNumId w:val="4"/>
  </w:num>
  <w:num w:numId="9" w16cid:durableId="32580551">
    <w:abstractNumId w:val="9"/>
  </w:num>
  <w:num w:numId="10" w16cid:durableId="8802832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48110812">
    <w:abstractNumId w:val="1"/>
  </w:num>
  <w:num w:numId="12" w16cid:durableId="1194467060">
    <w:abstractNumId w:val="0"/>
  </w:num>
  <w:num w:numId="13" w16cid:durableId="6223473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7E7"/>
    <w:rsid w:val="0002205E"/>
    <w:rsid w:val="0003107F"/>
    <w:rsid w:val="00050292"/>
    <w:rsid w:val="00057AA5"/>
    <w:rsid w:val="000830C1"/>
    <w:rsid w:val="00083CC7"/>
    <w:rsid w:val="00093DA0"/>
    <w:rsid w:val="000B7193"/>
    <w:rsid w:val="000D5BF5"/>
    <w:rsid w:val="000E4A28"/>
    <w:rsid w:val="000E51C1"/>
    <w:rsid w:val="000E594D"/>
    <w:rsid w:val="00102E47"/>
    <w:rsid w:val="00116E8C"/>
    <w:rsid w:val="001255CD"/>
    <w:rsid w:val="001257E8"/>
    <w:rsid w:val="00150DA1"/>
    <w:rsid w:val="00152FC1"/>
    <w:rsid w:val="001649AD"/>
    <w:rsid w:val="00167680"/>
    <w:rsid w:val="00172847"/>
    <w:rsid w:val="00173656"/>
    <w:rsid w:val="001745F1"/>
    <w:rsid w:val="00175DAD"/>
    <w:rsid w:val="00187E94"/>
    <w:rsid w:val="001926B5"/>
    <w:rsid w:val="00194CC7"/>
    <w:rsid w:val="001A0B36"/>
    <w:rsid w:val="001B0049"/>
    <w:rsid w:val="001C77D8"/>
    <w:rsid w:val="001D0AE0"/>
    <w:rsid w:val="002027E7"/>
    <w:rsid w:val="0021059A"/>
    <w:rsid w:val="0023606D"/>
    <w:rsid w:val="00246FFA"/>
    <w:rsid w:val="00251A4A"/>
    <w:rsid w:val="00252F46"/>
    <w:rsid w:val="00254902"/>
    <w:rsid w:val="00270BEA"/>
    <w:rsid w:val="00282225"/>
    <w:rsid w:val="0028299C"/>
    <w:rsid w:val="00285FE0"/>
    <w:rsid w:val="002B005C"/>
    <w:rsid w:val="002B2FF2"/>
    <w:rsid w:val="002C68B0"/>
    <w:rsid w:val="002D2FE9"/>
    <w:rsid w:val="002F6C6C"/>
    <w:rsid w:val="003125C4"/>
    <w:rsid w:val="00333A83"/>
    <w:rsid w:val="00351BFE"/>
    <w:rsid w:val="003572C2"/>
    <w:rsid w:val="00372B8F"/>
    <w:rsid w:val="003A584B"/>
    <w:rsid w:val="003B5CF9"/>
    <w:rsid w:val="003D0A8B"/>
    <w:rsid w:val="003F0C2C"/>
    <w:rsid w:val="003F69FA"/>
    <w:rsid w:val="004002FD"/>
    <w:rsid w:val="00421263"/>
    <w:rsid w:val="00427090"/>
    <w:rsid w:val="00433D0F"/>
    <w:rsid w:val="004409F6"/>
    <w:rsid w:val="004746FB"/>
    <w:rsid w:val="004861CB"/>
    <w:rsid w:val="00496B58"/>
    <w:rsid w:val="004A628B"/>
    <w:rsid w:val="00506F52"/>
    <w:rsid w:val="00522F99"/>
    <w:rsid w:val="00530F4F"/>
    <w:rsid w:val="00534723"/>
    <w:rsid w:val="0053772E"/>
    <w:rsid w:val="00556DF3"/>
    <w:rsid w:val="00556F68"/>
    <w:rsid w:val="0057123C"/>
    <w:rsid w:val="005728A3"/>
    <w:rsid w:val="00583DB4"/>
    <w:rsid w:val="005D0D5D"/>
    <w:rsid w:val="005D4AD7"/>
    <w:rsid w:val="005D71B2"/>
    <w:rsid w:val="005E17CB"/>
    <w:rsid w:val="005E1A73"/>
    <w:rsid w:val="005F018D"/>
    <w:rsid w:val="005F30A7"/>
    <w:rsid w:val="00602351"/>
    <w:rsid w:val="00636AF8"/>
    <w:rsid w:val="0064580E"/>
    <w:rsid w:val="0065310F"/>
    <w:rsid w:val="006567AC"/>
    <w:rsid w:val="00665143"/>
    <w:rsid w:val="00680789"/>
    <w:rsid w:val="006B6601"/>
    <w:rsid w:val="006D0D4C"/>
    <w:rsid w:val="006D11A1"/>
    <w:rsid w:val="006D3771"/>
    <w:rsid w:val="006F0E95"/>
    <w:rsid w:val="00710418"/>
    <w:rsid w:val="0073107A"/>
    <w:rsid w:val="00734D8B"/>
    <w:rsid w:val="00742FA8"/>
    <w:rsid w:val="007520AF"/>
    <w:rsid w:val="00781D57"/>
    <w:rsid w:val="007959C1"/>
    <w:rsid w:val="00796CFA"/>
    <w:rsid w:val="007A3247"/>
    <w:rsid w:val="007B3B82"/>
    <w:rsid w:val="007B765F"/>
    <w:rsid w:val="007D198D"/>
    <w:rsid w:val="007D7BEF"/>
    <w:rsid w:val="0080274E"/>
    <w:rsid w:val="0081503F"/>
    <w:rsid w:val="00821A30"/>
    <w:rsid w:val="00826AAC"/>
    <w:rsid w:val="00833496"/>
    <w:rsid w:val="00840C74"/>
    <w:rsid w:val="00845C4E"/>
    <w:rsid w:val="0085210E"/>
    <w:rsid w:val="00852DDA"/>
    <w:rsid w:val="00857FF1"/>
    <w:rsid w:val="00860D2C"/>
    <w:rsid w:val="0086195A"/>
    <w:rsid w:val="00871619"/>
    <w:rsid w:val="00875813"/>
    <w:rsid w:val="00882045"/>
    <w:rsid w:val="00886E6E"/>
    <w:rsid w:val="00887319"/>
    <w:rsid w:val="0089304C"/>
    <w:rsid w:val="008C3B51"/>
    <w:rsid w:val="008D32E5"/>
    <w:rsid w:val="008D6714"/>
    <w:rsid w:val="008E5FB9"/>
    <w:rsid w:val="008E7D53"/>
    <w:rsid w:val="00900C06"/>
    <w:rsid w:val="00906B87"/>
    <w:rsid w:val="00907D52"/>
    <w:rsid w:val="00922792"/>
    <w:rsid w:val="00950EC9"/>
    <w:rsid w:val="00955ED4"/>
    <w:rsid w:val="00987214"/>
    <w:rsid w:val="009B6F13"/>
    <w:rsid w:val="009D5FD8"/>
    <w:rsid w:val="009D68A7"/>
    <w:rsid w:val="009E044C"/>
    <w:rsid w:val="009E4C05"/>
    <w:rsid w:val="00A277F8"/>
    <w:rsid w:val="00A31D98"/>
    <w:rsid w:val="00A52988"/>
    <w:rsid w:val="00A54D19"/>
    <w:rsid w:val="00A573A4"/>
    <w:rsid w:val="00A67F92"/>
    <w:rsid w:val="00A70E18"/>
    <w:rsid w:val="00AA15DD"/>
    <w:rsid w:val="00AA476A"/>
    <w:rsid w:val="00AC53B5"/>
    <w:rsid w:val="00AC541D"/>
    <w:rsid w:val="00AD3544"/>
    <w:rsid w:val="00AD4622"/>
    <w:rsid w:val="00AD5BD0"/>
    <w:rsid w:val="00AF3A6A"/>
    <w:rsid w:val="00B05906"/>
    <w:rsid w:val="00B14DF2"/>
    <w:rsid w:val="00B16AF1"/>
    <w:rsid w:val="00B35012"/>
    <w:rsid w:val="00B36582"/>
    <w:rsid w:val="00B52815"/>
    <w:rsid w:val="00B612DE"/>
    <w:rsid w:val="00B7476C"/>
    <w:rsid w:val="00B77146"/>
    <w:rsid w:val="00B80153"/>
    <w:rsid w:val="00B807B6"/>
    <w:rsid w:val="00BD26EA"/>
    <w:rsid w:val="00BD365D"/>
    <w:rsid w:val="00BF5595"/>
    <w:rsid w:val="00C45527"/>
    <w:rsid w:val="00C75135"/>
    <w:rsid w:val="00C80874"/>
    <w:rsid w:val="00C80925"/>
    <w:rsid w:val="00C86D74"/>
    <w:rsid w:val="00C86F4B"/>
    <w:rsid w:val="00C905FB"/>
    <w:rsid w:val="00C944FA"/>
    <w:rsid w:val="00CA4589"/>
    <w:rsid w:val="00CB2053"/>
    <w:rsid w:val="00CB3C30"/>
    <w:rsid w:val="00CE6EEB"/>
    <w:rsid w:val="00CF1C6F"/>
    <w:rsid w:val="00CF2C22"/>
    <w:rsid w:val="00D20872"/>
    <w:rsid w:val="00D37016"/>
    <w:rsid w:val="00D45E16"/>
    <w:rsid w:val="00D4761B"/>
    <w:rsid w:val="00D50E8B"/>
    <w:rsid w:val="00D52E2F"/>
    <w:rsid w:val="00D851C0"/>
    <w:rsid w:val="00D96E9B"/>
    <w:rsid w:val="00DA6731"/>
    <w:rsid w:val="00DC4642"/>
    <w:rsid w:val="00DC7320"/>
    <w:rsid w:val="00DD7E10"/>
    <w:rsid w:val="00DE672B"/>
    <w:rsid w:val="00DF7C08"/>
    <w:rsid w:val="00E06371"/>
    <w:rsid w:val="00E147EE"/>
    <w:rsid w:val="00E21721"/>
    <w:rsid w:val="00E72A53"/>
    <w:rsid w:val="00E856E4"/>
    <w:rsid w:val="00E938C4"/>
    <w:rsid w:val="00EA4BA4"/>
    <w:rsid w:val="00EA4C9C"/>
    <w:rsid w:val="00EA7131"/>
    <w:rsid w:val="00ED2EDB"/>
    <w:rsid w:val="00ED6FA9"/>
    <w:rsid w:val="00EE1968"/>
    <w:rsid w:val="00EF14B8"/>
    <w:rsid w:val="00F070DD"/>
    <w:rsid w:val="00F11139"/>
    <w:rsid w:val="00F3151D"/>
    <w:rsid w:val="00F44255"/>
    <w:rsid w:val="00F448D1"/>
    <w:rsid w:val="00F639FF"/>
    <w:rsid w:val="00F71177"/>
    <w:rsid w:val="00F847EB"/>
    <w:rsid w:val="00F91B36"/>
    <w:rsid w:val="00F95C71"/>
    <w:rsid w:val="00FA480D"/>
    <w:rsid w:val="00FB5C97"/>
    <w:rsid w:val="00FD147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7F250"/>
  <w15:chartTrackingRefBased/>
  <w15:docId w15:val="{A8D5A84A-A267-48E5-ACD7-D8361B347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6E9B"/>
  </w:style>
  <w:style w:type="paragraph" w:styleId="Heading1">
    <w:name w:val="heading 1"/>
    <w:basedOn w:val="Normal"/>
    <w:next w:val="Normal"/>
    <w:link w:val="Heading1Char"/>
    <w:uiPriority w:val="9"/>
    <w:qFormat/>
    <w:rsid w:val="007959C1"/>
    <w:pPr>
      <w:keepNext/>
      <w:keepLines/>
      <w:spacing w:before="32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959C1"/>
    <w:pPr>
      <w:keepNext/>
      <w:keepLines/>
      <w:spacing w:before="80"/>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qFormat/>
    <w:rsid w:val="007959C1"/>
    <w:pPr>
      <w:keepNext/>
      <w:keepLines/>
      <w:spacing w:before="40"/>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7959C1"/>
    <w:pPr>
      <w:keepNext/>
      <w:keepLines/>
      <w:spacing w:before="4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7959C1"/>
    <w:pPr>
      <w:keepNext/>
      <w:keepLines/>
      <w:spacing w:before="4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7959C1"/>
    <w:pPr>
      <w:keepNext/>
      <w:keepLines/>
      <w:spacing w:before="4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7959C1"/>
    <w:pPr>
      <w:keepNext/>
      <w:keepLines/>
      <w:spacing w:before="40"/>
      <w:outlineLvl w:val="6"/>
    </w:pPr>
    <w:rPr>
      <w:rFonts w:asciiTheme="majorHAnsi" w:eastAsiaTheme="majorEastAsia" w:hAnsiTheme="majorHAnsi" w:cstheme="majorBidi"/>
      <w:i/>
      <w:iCs/>
      <w:color w:val="1F3864" w:themeColor="accent1" w:themeShade="80"/>
      <w:sz w:val="21"/>
      <w:szCs w:val="21"/>
    </w:rPr>
  </w:style>
  <w:style w:type="paragraph" w:styleId="Heading8">
    <w:name w:val="heading 8"/>
    <w:basedOn w:val="Normal"/>
    <w:next w:val="Normal"/>
    <w:link w:val="Heading8Char"/>
    <w:uiPriority w:val="9"/>
    <w:semiHidden/>
    <w:unhideWhenUsed/>
    <w:qFormat/>
    <w:rsid w:val="007959C1"/>
    <w:pPr>
      <w:keepNext/>
      <w:keepLines/>
      <w:spacing w:before="4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7959C1"/>
    <w:pPr>
      <w:keepNext/>
      <w:keepLines/>
      <w:spacing w:before="4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45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80789"/>
  </w:style>
  <w:style w:type="character" w:customStyle="1" w:styleId="Heading1Char">
    <w:name w:val="Heading 1 Char"/>
    <w:basedOn w:val="DefaultParagraphFont"/>
    <w:link w:val="Heading1"/>
    <w:uiPriority w:val="9"/>
    <w:rsid w:val="007959C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7959C1"/>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rsid w:val="007959C1"/>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7959C1"/>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7959C1"/>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7959C1"/>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7959C1"/>
    <w:rPr>
      <w:rFonts w:asciiTheme="majorHAnsi" w:eastAsiaTheme="majorEastAsia" w:hAnsiTheme="majorHAnsi" w:cstheme="majorBidi"/>
      <w:i/>
      <w:iCs/>
      <w:color w:val="1F3864" w:themeColor="accent1" w:themeShade="80"/>
      <w:sz w:val="21"/>
      <w:szCs w:val="21"/>
    </w:rPr>
  </w:style>
  <w:style w:type="character" w:customStyle="1" w:styleId="Heading8Char">
    <w:name w:val="Heading 8 Char"/>
    <w:basedOn w:val="DefaultParagraphFont"/>
    <w:link w:val="Heading8"/>
    <w:uiPriority w:val="9"/>
    <w:semiHidden/>
    <w:rsid w:val="007959C1"/>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7959C1"/>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7959C1"/>
    <w:rPr>
      <w:b/>
      <w:bCs/>
      <w:smallCaps/>
      <w:color w:val="595959" w:themeColor="text1" w:themeTint="A6"/>
      <w:spacing w:val="6"/>
    </w:rPr>
  </w:style>
  <w:style w:type="paragraph" w:styleId="Title">
    <w:name w:val="Title"/>
    <w:basedOn w:val="Normal"/>
    <w:next w:val="Normal"/>
    <w:link w:val="TitleChar"/>
    <w:uiPriority w:val="10"/>
    <w:qFormat/>
    <w:rsid w:val="007959C1"/>
    <w:pPr>
      <w:contextualSpacing/>
    </w:pPr>
    <w:rPr>
      <w:rFonts w:asciiTheme="majorHAnsi" w:eastAsiaTheme="majorEastAsia" w:hAnsiTheme="majorHAnsi" w:cstheme="majorBidi"/>
      <w:color w:val="4472C4" w:themeColor="accent1"/>
      <w:spacing w:val="-10"/>
      <w:sz w:val="56"/>
      <w:szCs w:val="56"/>
    </w:rPr>
  </w:style>
  <w:style w:type="character" w:customStyle="1" w:styleId="TitleChar">
    <w:name w:val="Title Char"/>
    <w:basedOn w:val="DefaultParagraphFont"/>
    <w:link w:val="Title"/>
    <w:uiPriority w:val="10"/>
    <w:rsid w:val="007959C1"/>
    <w:rPr>
      <w:rFonts w:asciiTheme="majorHAnsi" w:eastAsiaTheme="majorEastAsia" w:hAnsiTheme="majorHAnsi" w:cstheme="majorBidi"/>
      <w:color w:val="4472C4" w:themeColor="accent1"/>
      <w:spacing w:val="-10"/>
      <w:sz w:val="56"/>
      <w:szCs w:val="56"/>
    </w:rPr>
  </w:style>
  <w:style w:type="paragraph" w:styleId="Subtitle">
    <w:name w:val="Subtitle"/>
    <w:basedOn w:val="Normal"/>
    <w:next w:val="Normal"/>
    <w:link w:val="SubtitleChar"/>
    <w:uiPriority w:val="11"/>
    <w:qFormat/>
    <w:rsid w:val="007959C1"/>
    <w:pPr>
      <w:numPr>
        <w:ilvl w:val="1"/>
      </w:numP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7959C1"/>
    <w:rPr>
      <w:rFonts w:asciiTheme="majorHAnsi" w:eastAsiaTheme="majorEastAsia" w:hAnsiTheme="majorHAnsi" w:cstheme="majorBidi"/>
      <w:sz w:val="24"/>
      <w:szCs w:val="24"/>
    </w:rPr>
  </w:style>
  <w:style w:type="character" w:styleId="Strong">
    <w:name w:val="Strong"/>
    <w:basedOn w:val="DefaultParagraphFont"/>
    <w:uiPriority w:val="22"/>
    <w:qFormat/>
    <w:rsid w:val="007959C1"/>
    <w:rPr>
      <w:b/>
      <w:bCs/>
    </w:rPr>
  </w:style>
  <w:style w:type="character" w:styleId="Emphasis">
    <w:name w:val="Emphasis"/>
    <w:basedOn w:val="DefaultParagraphFont"/>
    <w:uiPriority w:val="20"/>
    <w:qFormat/>
    <w:rsid w:val="007959C1"/>
    <w:rPr>
      <w:i/>
      <w:iCs/>
    </w:rPr>
  </w:style>
  <w:style w:type="paragraph" w:styleId="NoSpacing">
    <w:name w:val="No Spacing"/>
    <w:uiPriority w:val="1"/>
    <w:qFormat/>
    <w:rsid w:val="007959C1"/>
  </w:style>
  <w:style w:type="paragraph" w:styleId="Quote">
    <w:name w:val="Quote"/>
    <w:basedOn w:val="Normal"/>
    <w:next w:val="Normal"/>
    <w:link w:val="QuoteChar"/>
    <w:uiPriority w:val="29"/>
    <w:qFormat/>
    <w:rsid w:val="007959C1"/>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7959C1"/>
    <w:rPr>
      <w:i/>
      <w:iCs/>
      <w:color w:val="404040" w:themeColor="text1" w:themeTint="BF"/>
    </w:rPr>
  </w:style>
  <w:style w:type="paragraph" w:styleId="IntenseQuote">
    <w:name w:val="Intense Quote"/>
    <w:basedOn w:val="Normal"/>
    <w:next w:val="Normal"/>
    <w:link w:val="IntenseQuoteChar"/>
    <w:uiPriority w:val="30"/>
    <w:qFormat/>
    <w:rsid w:val="007959C1"/>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IntenseQuoteChar">
    <w:name w:val="Intense Quote Char"/>
    <w:basedOn w:val="DefaultParagraphFont"/>
    <w:link w:val="IntenseQuote"/>
    <w:uiPriority w:val="30"/>
    <w:rsid w:val="007959C1"/>
    <w:rPr>
      <w:rFonts w:asciiTheme="majorHAnsi" w:eastAsiaTheme="majorEastAsia" w:hAnsiTheme="majorHAnsi" w:cstheme="majorBidi"/>
      <w:color w:val="4472C4" w:themeColor="accent1"/>
      <w:sz w:val="28"/>
      <w:szCs w:val="28"/>
    </w:rPr>
  </w:style>
  <w:style w:type="character" w:styleId="SubtleEmphasis">
    <w:name w:val="Subtle Emphasis"/>
    <w:basedOn w:val="DefaultParagraphFont"/>
    <w:uiPriority w:val="19"/>
    <w:qFormat/>
    <w:rsid w:val="007959C1"/>
    <w:rPr>
      <w:i/>
      <w:iCs/>
      <w:color w:val="404040" w:themeColor="text1" w:themeTint="BF"/>
    </w:rPr>
  </w:style>
  <w:style w:type="character" w:styleId="IntenseEmphasis">
    <w:name w:val="Intense Emphasis"/>
    <w:basedOn w:val="DefaultParagraphFont"/>
    <w:uiPriority w:val="21"/>
    <w:qFormat/>
    <w:rsid w:val="007959C1"/>
    <w:rPr>
      <w:b/>
      <w:bCs/>
      <w:i/>
      <w:iCs/>
    </w:rPr>
  </w:style>
  <w:style w:type="character" w:styleId="SubtleReference">
    <w:name w:val="Subtle Reference"/>
    <w:basedOn w:val="DefaultParagraphFont"/>
    <w:uiPriority w:val="31"/>
    <w:qFormat/>
    <w:rsid w:val="007959C1"/>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7959C1"/>
    <w:rPr>
      <w:b/>
      <w:bCs/>
      <w:smallCaps/>
      <w:spacing w:val="5"/>
      <w:u w:val="single"/>
    </w:rPr>
  </w:style>
  <w:style w:type="character" w:styleId="BookTitle">
    <w:name w:val="Book Title"/>
    <w:basedOn w:val="DefaultParagraphFont"/>
    <w:uiPriority w:val="33"/>
    <w:qFormat/>
    <w:rsid w:val="007959C1"/>
    <w:rPr>
      <w:b/>
      <w:bCs/>
      <w:smallCaps/>
    </w:rPr>
  </w:style>
  <w:style w:type="paragraph" w:styleId="TOCHeading">
    <w:name w:val="TOC Heading"/>
    <w:basedOn w:val="Heading1"/>
    <w:next w:val="Normal"/>
    <w:uiPriority w:val="39"/>
    <w:unhideWhenUsed/>
    <w:qFormat/>
    <w:rsid w:val="007959C1"/>
    <w:pPr>
      <w:outlineLvl w:val="9"/>
    </w:pPr>
  </w:style>
  <w:style w:type="paragraph" w:styleId="ListParagraph">
    <w:name w:val="List Paragraph"/>
    <w:basedOn w:val="Normal"/>
    <w:link w:val="ListParagraphChar"/>
    <w:uiPriority w:val="34"/>
    <w:qFormat/>
    <w:rsid w:val="00742FA8"/>
    <w:pPr>
      <w:ind w:left="720"/>
      <w:contextualSpacing/>
    </w:pPr>
  </w:style>
  <w:style w:type="character" w:styleId="Hyperlink">
    <w:name w:val="Hyperlink"/>
    <w:uiPriority w:val="99"/>
    <w:unhideWhenUsed/>
    <w:rsid w:val="001A0B36"/>
    <w:rPr>
      <w:color w:val="F49100"/>
      <w:u w:val="single"/>
    </w:rPr>
  </w:style>
  <w:style w:type="paragraph" w:styleId="NormalWeb">
    <w:name w:val="Normal (Web)"/>
    <w:basedOn w:val="Normal"/>
    <w:uiPriority w:val="99"/>
    <w:unhideWhenUsed/>
    <w:rsid w:val="001A0B36"/>
    <w:pPr>
      <w:spacing w:before="100" w:beforeAutospacing="1" w:after="100" w:afterAutospacing="1"/>
    </w:pPr>
    <w:rPr>
      <w:rFonts w:ascii="Times New Roman" w:eastAsia="Times New Roman" w:hAnsi="Times New Roman" w:cs="Times New Roman"/>
      <w:i/>
      <w:iCs/>
      <w:sz w:val="24"/>
      <w:szCs w:val="24"/>
      <w:lang w:eastAsia="fr-FR"/>
    </w:rPr>
  </w:style>
  <w:style w:type="character" w:customStyle="1" w:styleId="ListParagraphChar">
    <w:name w:val="List Paragraph Char"/>
    <w:link w:val="ListParagraph"/>
    <w:uiPriority w:val="34"/>
    <w:locked/>
    <w:rsid w:val="001A0B36"/>
  </w:style>
  <w:style w:type="paragraph" w:styleId="TOC1">
    <w:name w:val="toc 1"/>
    <w:basedOn w:val="Normal"/>
    <w:next w:val="Normal"/>
    <w:autoRedefine/>
    <w:uiPriority w:val="39"/>
    <w:unhideWhenUsed/>
    <w:rsid w:val="006D3771"/>
    <w:pPr>
      <w:spacing w:after="100"/>
    </w:pPr>
  </w:style>
  <w:style w:type="paragraph" w:styleId="TOC2">
    <w:name w:val="toc 2"/>
    <w:basedOn w:val="Normal"/>
    <w:next w:val="Normal"/>
    <w:autoRedefine/>
    <w:uiPriority w:val="39"/>
    <w:unhideWhenUsed/>
    <w:rsid w:val="006D3771"/>
    <w:pPr>
      <w:spacing w:after="100"/>
      <w:ind w:left="200"/>
    </w:pPr>
  </w:style>
  <w:style w:type="paragraph" w:customStyle="1" w:styleId="Default">
    <w:name w:val="Default"/>
    <w:rsid w:val="00857FF1"/>
    <w:pPr>
      <w:autoSpaceDE w:val="0"/>
      <w:autoSpaceDN w:val="0"/>
      <w:adjustRightInd w:val="0"/>
    </w:pPr>
    <w:rPr>
      <w:rFonts w:ascii="Calibri" w:eastAsiaTheme="minorHAnsi" w:hAnsi="Calibri" w:cs="Calibri"/>
      <w:color w:val="000000"/>
      <w:sz w:val="24"/>
      <w:szCs w:val="24"/>
    </w:rPr>
  </w:style>
  <w:style w:type="paragraph" w:styleId="FootnoteText">
    <w:name w:val="footnote text"/>
    <w:basedOn w:val="Normal"/>
    <w:link w:val="FootnoteTextChar"/>
    <w:uiPriority w:val="99"/>
    <w:semiHidden/>
    <w:unhideWhenUsed/>
    <w:rsid w:val="00857FF1"/>
    <w:rPr>
      <w:rFonts w:eastAsiaTheme="minorHAnsi"/>
    </w:rPr>
  </w:style>
  <w:style w:type="character" w:customStyle="1" w:styleId="FootnoteTextChar">
    <w:name w:val="Footnote Text Char"/>
    <w:basedOn w:val="DefaultParagraphFont"/>
    <w:link w:val="FootnoteText"/>
    <w:uiPriority w:val="99"/>
    <w:semiHidden/>
    <w:rsid w:val="00857FF1"/>
    <w:rPr>
      <w:rFonts w:eastAsiaTheme="minorHAnsi"/>
    </w:rPr>
  </w:style>
  <w:style w:type="character" w:styleId="FootnoteReference">
    <w:name w:val="footnote reference"/>
    <w:basedOn w:val="DefaultParagraphFont"/>
    <w:uiPriority w:val="99"/>
    <w:semiHidden/>
    <w:unhideWhenUsed/>
    <w:rsid w:val="00857FF1"/>
    <w:rPr>
      <w:vertAlign w:val="superscript"/>
    </w:rPr>
  </w:style>
  <w:style w:type="paragraph" w:styleId="TOC3">
    <w:name w:val="toc 3"/>
    <w:basedOn w:val="Normal"/>
    <w:next w:val="Normal"/>
    <w:autoRedefine/>
    <w:uiPriority w:val="39"/>
    <w:unhideWhenUsed/>
    <w:rsid w:val="004A628B"/>
    <w:pPr>
      <w:spacing w:after="100"/>
      <w:ind w:left="400"/>
    </w:pPr>
  </w:style>
  <w:style w:type="paragraph" w:styleId="Header">
    <w:name w:val="header"/>
    <w:basedOn w:val="Normal"/>
    <w:link w:val="HeaderChar"/>
    <w:uiPriority w:val="99"/>
    <w:unhideWhenUsed/>
    <w:rsid w:val="0057123C"/>
    <w:pPr>
      <w:tabs>
        <w:tab w:val="center" w:pos="4513"/>
        <w:tab w:val="right" w:pos="9026"/>
      </w:tabs>
    </w:pPr>
  </w:style>
  <w:style w:type="character" w:customStyle="1" w:styleId="HeaderChar">
    <w:name w:val="Header Char"/>
    <w:basedOn w:val="DefaultParagraphFont"/>
    <w:link w:val="Header"/>
    <w:uiPriority w:val="99"/>
    <w:rsid w:val="0057123C"/>
  </w:style>
  <w:style w:type="paragraph" w:styleId="Footer">
    <w:name w:val="footer"/>
    <w:basedOn w:val="Normal"/>
    <w:link w:val="FooterChar"/>
    <w:uiPriority w:val="99"/>
    <w:unhideWhenUsed/>
    <w:rsid w:val="0057123C"/>
    <w:pPr>
      <w:tabs>
        <w:tab w:val="center" w:pos="4513"/>
        <w:tab w:val="right" w:pos="9026"/>
      </w:tabs>
    </w:pPr>
  </w:style>
  <w:style w:type="character" w:customStyle="1" w:styleId="FooterChar">
    <w:name w:val="Footer Char"/>
    <w:basedOn w:val="DefaultParagraphFont"/>
    <w:link w:val="Footer"/>
    <w:uiPriority w:val="99"/>
    <w:rsid w:val="0057123C"/>
  </w:style>
  <w:style w:type="character" w:styleId="UnresolvedMention">
    <w:name w:val="Unresolved Mention"/>
    <w:basedOn w:val="DefaultParagraphFont"/>
    <w:uiPriority w:val="99"/>
    <w:semiHidden/>
    <w:unhideWhenUsed/>
    <w:rsid w:val="00172847"/>
    <w:rPr>
      <w:color w:val="605E5C"/>
      <w:shd w:val="clear" w:color="auto" w:fill="E1DFDD"/>
    </w:rPr>
  </w:style>
  <w:style w:type="character" w:styleId="FollowedHyperlink">
    <w:name w:val="FollowedHyperlink"/>
    <w:basedOn w:val="DefaultParagraphFont"/>
    <w:uiPriority w:val="99"/>
    <w:semiHidden/>
    <w:unhideWhenUsed/>
    <w:rsid w:val="00CF1C6F"/>
    <w:rPr>
      <w:color w:val="954F72" w:themeColor="followedHyperlink"/>
      <w:u w:val="single"/>
    </w:rPr>
  </w:style>
  <w:style w:type="character" w:customStyle="1" w:styleId="docref">
    <w:name w:val="docref"/>
    <w:basedOn w:val="DefaultParagraphFont"/>
    <w:rsid w:val="00102E47"/>
  </w:style>
  <w:style w:type="character" w:customStyle="1" w:styleId="gray">
    <w:name w:val="gray"/>
    <w:basedOn w:val="DefaultParagraphFont"/>
    <w:rsid w:val="00102E47"/>
  </w:style>
  <w:style w:type="paragraph" w:customStyle="1" w:styleId="COEHI">
    <w:name w:val="COE_HI"/>
    <w:basedOn w:val="Normal"/>
    <w:qFormat/>
    <w:rsid w:val="00506F52"/>
    <w:pPr>
      <w:numPr>
        <w:numId w:val="6"/>
      </w:numPr>
      <w:tabs>
        <w:tab w:val="left" w:pos="482"/>
      </w:tabs>
      <w:spacing w:line="240" w:lineRule="exact"/>
      <w:jc w:val="both"/>
    </w:pPr>
    <w:rPr>
      <w:rFonts w:ascii="Times New Roman" w:eastAsia="Times New Roman" w:hAnsi="Times New Roman" w:cs="Times New Roman"/>
      <w:color w:val="000000"/>
      <w:kern w:val="16"/>
      <w:sz w:val="21"/>
      <w:szCs w:val="24"/>
      <w:lang w:eastAsia="fr-FR"/>
    </w:rPr>
  </w:style>
  <w:style w:type="paragraph" w:customStyle="1" w:styleId="COEHeading2bis">
    <w:name w:val="COE_Heading2bis"/>
    <w:basedOn w:val="Normal"/>
    <w:qFormat/>
    <w:rsid w:val="00333A83"/>
    <w:pPr>
      <w:keepNext/>
      <w:tabs>
        <w:tab w:val="left" w:pos="480"/>
      </w:tabs>
      <w:spacing w:before="240" w:after="240" w:line="240" w:lineRule="exact"/>
      <w:ind w:firstLine="482"/>
      <w:jc w:val="center"/>
    </w:pPr>
    <w:rPr>
      <w:rFonts w:ascii="Times New Roman" w:eastAsia="Times New Roman" w:hAnsi="Times New Roman" w:cs="Times New Roman"/>
      <w:caps/>
      <w:color w:val="000000"/>
      <w:kern w:val="16"/>
      <w:sz w:val="18"/>
      <w:szCs w:val="24"/>
      <w:lang w:eastAsia="fr-FR"/>
    </w:rPr>
  </w:style>
  <w:style w:type="paragraph" w:customStyle="1" w:styleId="COEHeading4">
    <w:name w:val="COE_Heading4"/>
    <w:basedOn w:val="Normal"/>
    <w:next w:val="Normal"/>
    <w:rsid w:val="00333A83"/>
    <w:pPr>
      <w:keepNext/>
      <w:suppressAutoHyphens/>
      <w:spacing w:before="240" w:after="240" w:line="240" w:lineRule="exact"/>
      <w:ind w:left="1134" w:right="1134"/>
      <w:jc w:val="center"/>
    </w:pPr>
    <w:rPr>
      <w:rFonts w:ascii="Times New Roman" w:eastAsia="Times New Roman" w:hAnsi="Times New Roman" w:cs="Times New Roman"/>
      <w:b/>
      <w:color w:val="000000"/>
      <w:kern w:val="16"/>
      <w:sz w:val="21"/>
      <w:szCs w:val="21"/>
      <w:lang w:val="en-GB" w:eastAsia="fr-FR"/>
    </w:rPr>
  </w:style>
  <w:style w:type="paragraph" w:customStyle="1" w:styleId="xmsonormal">
    <w:name w:val="x_msonormal"/>
    <w:basedOn w:val="Normal"/>
    <w:rsid w:val="00333A83"/>
    <w:rPr>
      <w:rFonts w:ascii="Calibri" w:eastAsiaTheme="minorHAnsi" w:hAnsi="Calibri" w:cs="Calibri"/>
      <w:sz w:val="22"/>
      <w:szCs w:val="22"/>
      <w:lang w:eastAsia="fr-FR"/>
    </w:rPr>
  </w:style>
  <w:style w:type="paragraph" w:customStyle="1" w:styleId="xxxxxmsonormal">
    <w:name w:val="x_x_x_x_xmsonormal"/>
    <w:basedOn w:val="Normal"/>
    <w:rsid w:val="00860D2C"/>
    <w:pPr>
      <w:spacing w:before="100" w:beforeAutospacing="1" w:after="100" w:afterAutospacing="1"/>
    </w:pPr>
    <w:rPr>
      <w:rFonts w:ascii="Calibri" w:eastAsiaTheme="minorHAnsi" w:hAnsi="Calibri" w:cs="Calibri"/>
      <w:sz w:val="22"/>
      <w:szCs w:val="22"/>
      <w:lang w:eastAsia="fr-FR"/>
    </w:rPr>
  </w:style>
  <w:style w:type="paragraph" w:customStyle="1" w:styleId="coesource">
    <w:name w:val="coesource"/>
    <w:basedOn w:val="Normal"/>
    <w:rsid w:val="0064580E"/>
    <w:pPr>
      <w:spacing w:before="100" w:beforeAutospacing="1" w:after="100" w:afterAutospacing="1"/>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47814">
      <w:bodyDiv w:val="1"/>
      <w:marLeft w:val="0"/>
      <w:marRight w:val="0"/>
      <w:marTop w:val="0"/>
      <w:marBottom w:val="0"/>
      <w:divBdr>
        <w:top w:val="none" w:sz="0" w:space="0" w:color="auto"/>
        <w:left w:val="none" w:sz="0" w:space="0" w:color="auto"/>
        <w:bottom w:val="none" w:sz="0" w:space="0" w:color="auto"/>
        <w:right w:val="none" w:sz="0" w:space="0" w:color="auto"/>
      </w:divBdr>
    </w:div>
    <w:div w:id="95248018">
      <w:bodyDiv w:val="1"/>
      <w:marLeft w:val="0"/>
      <w:marRight w:val="0"/>
      <w:marTop w:val="0"/>
      <w:marBottom w:val="0"/>
      <w:divBdr>
        <w:top w:val="none" w:sz="0" w:space="0" w:color="auto"/>
        <w:left w:val="none" w:sz="0" w:space="0" w:color="auto"/>
        <w:bottom w:val="none" w:sz="0" w:space="0" w:color="auto"/>
        <w:right w:val="none" w:sz="0" w:space="0" w:color="auto"/>
      </w:divBdr>
    </w:div>
    <w:div w:id="221213517">
      <w:bodyDiv w:val="1"/>
      <w:marLeft w:val="0"/>
      <w:marRight w:val="0"/>
      <w:marTop w:val="0"/>
      <w:marBottom w:val="0"/>
      <w:divBdr>
        <w:top w:val="none" w:sz="0" w:space="0" w:color="auto"/>
        <w:left w:val="none" w:sz="0" w:space="0" w:color="auto"/>
        <w:bottom w:val="none" w:sz="0" w:space="0" w:color="auto"/>
        <w:right w:val="none" w:sz="0" w:space="0" w:color="auto"/>
      </w:divBdr>
    </w:div>
    <w:div w:id="381104526">
      <w:bodyDiv w:val="1"/>
      <w:marLeft w:val="0"/>
      <w:marRight w:val="0"/>
      <w:marTop w:val="0"/>
      <w:marBottom w:val="0"/>
      <w:divBdr>
        <w:top w:val="none" w:sz="0" w:space="0" w:color="auto"/>
        <w:left w:val="none" w:sz="0" w:space="0" w:color="auto"/>
        <w:bottom w:val="none" w:sz="0" w:space="0" w:color="auto"/>
        <w:right w:val="none" w:sz="0" w:space="0" w:color="auto"/>
      </w:divBdr>
    </w:div>
    <w:div w:id="444273272">
      <w:bodyDiv w:val="1"/>
      <w:marLeft w:val="0"/>
      <w:marRight w:val="0"/>
      <w:marTop w:val="0"/>
      <w:marBottom w:val="0"/>
      <w:divBdr>
        <w:top w:val="none" w:sz="0" w:space="0" w:color="auto"/>
        <w:left w:val="none" w:sz="0" w:space="0" w:color="auto"/>
        <w:bottom w:val="none" w:sz="0" w:space="0" w:color="auto"/>
        <w:right w:val="none" w:sz="0" w:space="0" w:color="auto"/>
      </w:divBdr>
    </w:div>
    <w:div w:id="481654256">
      <w:bodyDiv w:val="1"/>
      <w:marLeft w:val="0"/>
      <w:marRight w:val="0"/>
      <w:marTop w:val="0"/>
      <w:marBottom w:val="0"/>
      <w:divBdr>
        <w:top w:val="none" w:sz="0" w:space="0" w:color="auto"/>
        <w:left w:val="none" w:sz="0" w:space="0" w:color="auto"/>
        <w:bottom w:val="none" w:sz="0" w:space="0" w:color="auto"/>
        <w:right w:val="none" w:sz="0" w:space="0" w:color="auto"/>
      </w:divBdr>
    </w:div>
    <w:div w:id="496573969">
      <w:bodyDiv w:val="1"/>
      <w:marLeft w:val="0"/>
      <w:marRight w:val="0"/>
      <w:marTop w:val="0"/>
      <w:marBottom w:val="0"/>
      <w:divBdr>
        <w:top w:val="none" w:sz="0" w:space="0" w:color="auto"/>
        <w:left w:val="none" w:sz="0" w:space="0" w:color="auto"/>
        <w:bottom w:val="none" w:sz="0" w:space="0" w:color="auto"/>
        <w:right w:val="none" w:sz="0" w:space="0" w:color="auto"/>
      </w:divBdr>
    </w:div>
    <w:div w:id="558327168">
      <w:bodyDiv w:val="1"/>
      <w:marLeft w:val="0"/>
      <w:marRight w:val="0"/>
      <w:marTop w:val="0"/>
      <w:marBottom w:val="0"/>
      <w:divBdr>
        <w:top w:val="none" w:sz="0" w:space="0" w:color="auto"/>
        <w:left w:val="none" w:sz="0" w:space="0" w:color="auto"/>
        <w:bottom w:val="none" w:sz="0" w:space="0" w:color="auto"/>
        <w:right w:val="none" w:sz="0" w:space="0" w:color="auto"/>
      </w:divBdr>
    </w:div>
    <w:div w:id="599408187">
      <w:bodyDiv w:val="1"/>
      <w:marLeft w:val="0"/>
      <w:marRight w:val="0"/>
      <w:marTop w:val="0"/>
      <w:marBottom w:val="0"/>
      <w:divBdr>
        <w:top w:val="none" w:sz="0" w:space="0" w:color="auto"/>
        <w:left w:val="none" w:sz="0" w:space="0" w:color="auto"/>
        <w:bottom w:val="none" w:sz="0" w:space="0" w:color="auto"/>
        <w:right w:val="none" w:sz="0" w:space="0" w:color="auto"/>
      </w:divBdr>
    </w:div>
    <w:div w:id="840387614">
      <w:bodyDiv w:val="1"/>
      <w:marLeft w:val="0"/>
      <w:marRight w:val="0"/>
      <w:marTop w:val="0"/>
      <w:marBottom w:val="0"/>
      <w:divBdr>
        <w:top w:val="none" w:sz="0" w:space="0" w:color="auto"/>
        <w:left w:val="none" w:sz="0" w:space="0" w:color="auto"/>
        <w:bottom w:val="none" w:sz="0" w:space="0" w:color="auto"/>
        <w:right w:val="none" w:sz="0" w:space="0" w:color="auto"/>
      </w:divBdr>
    </w:div>
    <w:div w:id="891035475">
      <w:bodyDiv w:val="1"/>
      <w:marLeft w:val="0"/>
      <w:marRight w:val="0"/>
      <w:marTop w:val="0"/>
      <w:marBottom w:val="0"/>
      <w:divBdr>
        <w:top w:val="none" w:sz="0" w:space="0" w:color="auto"/>
        <w:left w:val="none" w:sz="0" w:space="0" w:color="auto"/>
        <w:bottom w:val="none" w:sz="0" w:space="0" w:color="auto"/>
        <w:right w:val="none" w:sz="0" w:space="0" w:color="auto"/>
      </w:divBdr>
    </w:div>
    <w:div w:id="899747846">
      <w:bodyDiv w:val="1"/>
      <w:marLeft w:val="0"/>
      <w:marRight w:val="0"/>
      <w:marTop w:val="0"/>
      <w:marBottom w:val="0"/>
      <w:divBdr>
        <w:top w:val="none" w:sz="0" w:space="0" w:color="auto"/>
        <w:left w:val="none" w:sz="0" w:space="0" w:color="auto"/>
        <w:bottom w:val="none" w:sz="0" w:space="0" w:color="auto"/>
        <w:right w:val="none" w:sz="0" w:space="0" w:color="auto"/>
      </w:divBdr>
    </w:div>
    <w:div w:id="956135673">
      <w:bodyDiv w:val="1"/>
      <w:marLeft w:val="0"/>
      <w:marRight w:val="0"/>
      <w:marTop w:val="0"/>
      <w:marBottom w:val="0"/>
      <w:divBdr>
        <w:top w:val="none" w:sz="0" w:space="0" w:color="auto"/>
        <w:left w:val="none" w:sz="0" w:space="0" w:color="auto"/>
        <w:bottom w:val="none" w:sz="0" w:space="0" w:color="auto"/>
        <w:right w:val="none" w:sz="0" w:space="0" w:color="auto"/>
      </w:divBdr>
    </w:div>
    <w:div w:id="1028525033">
      <w:bodyDiv w:val="1"/>
      <w:marLeft w:val="0"/>
      <w:marRight w:val="0"/>
      <w:marTop w:val="0"/>
      <w:marBottom w:val="0"/>
      <w:divBdr>
        <w:top w:val="none" w:sz="0" w:space="0" w:color="auto"/>
        <w:left w:val="none" w:sz="0" w:space="0" w:color="auto"/>
        <w:bottom w:val="none" w:sz="0" w:space="0" w:color="auto"/>
        <w:right w:val="none" w:sz="0" w:space="0" w:color="auto"/>
      </w:divBdr>
    </w:div>
    <w:div w:id="1090391164">
      <w:bodyDiv w:val="1"/>
      <w:marLeft w:val="0"/>
      <w:marRight w:val="0"/>
      <w:marTop w:val="0"/>
      <w:marBottom w:val="0"/>
      <w:divBdr>
        <w:top w:val="none" w:sz="0" w:space="0" w:color="auto"/>
        <w:left w:val="none" w:sz="0" w:space="0" w:color="auto"/>
        <w:bottom w:val="none" w:sz="0" w:space="0" w:color="auto"/>
        <w:right w:val="none" w:sz="0" w:space="0" w:color="auto"/>
      </w:divBdr>
    </w:div>
    <w:div w:id="1236548620">
      <w:bodyDiv w:val="1"/>
      <w:marLeft w:val="0"/>
      <w:marRight w:val="0"/>
      <w:marTop w:val="0"/>
      <w:marBottom w:val="0"/>
      <w:divBdr>
        <w:top w:val="none" w:sz="0" w:space="0" w:color="auto"/>
        <w:left w:val="none" w:sz="0" w:space="0" w:color="auto"/>
        <w:bottom w:val="none" w:sz="0" w:space="0" w:color="auto"/>
        <w:right w:val="none" w:sz="0" w:space="0" w:color="auto"/>
      </w:divBdr>
    </w:div>
    <w:div w:id="1314915471">
      <w:bodyDiv w:val="1"/>
      <w:marLeft w:val="0"/>
      <w:marRight w:val="0"/>
      <w:marTop w:val="0"/>
      <w:marBottom w:val="0"/>
      <w:divBdr>
        <w:top w:val="none" w:sz="0" w:space="0" w:color="auto"/>
        <w:left w:val="none" w:sz="0" w:space="0" w:color="auto"/>
        <w:bottom w:val="none" w:sz="0" w:space="0" w:color="auto"/>
        <w:right w:val="none" w:sz="0" w:space="0" w:color="auto"/>
      </w:divBdr>
    </w:div>
    <w:div w:id="1317882667">
      <w:bodyDiv w:val="1"/>
      <w:marLeft w:val="0"/>
      <w:marRight w:val="0"/>
      <w:marTop w:val="0"/>
      <w:marBottom w:val="0"/>
      <w:divBdr>
        <w:top w:val="none" w:sz="0" w:space="0" w:color="auto"/>
        <w:left w:val="none" w:sz="0" w:space="0" w:color="auto"/>
        <w:bottom w:val="none" w:sz="0" w:space="0" w:color="auto"/>
        <w:right w:val="none" w:sz="0" w:space="0" w:color="auto"/>
      </w:divBdr>
    </w:div>
    <w:div w:id="1455052747">
      <w:bodyDiv w:val="1"/>
      <w:marLeft w:val="0"/>
      <w:marRight w:val="0"/>
      <w:marTop w:val="0"/>
      <w:marBottom w:val="0"/>
      <w:divBdr>
        <w:top w:val="none" w:sz="0" w:space="0" w:color="auto"/>
        <w:left w:val="none" w:sz="0" w:space="0" w:color="auto"/>
        <w:bottom w:val="none" w:sz="0" w:space="0" w:color="auto"/>
        <w:right w:val="none" w:sz="0" w:space="0" w:color="auto"/>
      </w:divBdr>
    </w:div>
    <w:div w:id="1487624730">
      <w:bodyDiv w:val="1"/>
      <w:marLeft w:val="0"/>
      <w:marRight w:val="0"/>
      <w:marTop w:val="0"/>
      <w:marBottom w:val="0"/>
      <w:divBdr>
        <w:top w:val="none" w:sz="0" w:space="0" w:color="auto"/>
        <w:left w:val="none" w:sz="0" w:space="0" w:color="auto"/>
        <w:bottom w:val="none" w:sz="0" w:space="0" w:color="auto"/>
        <w:right w:val="none" w:sz="0" w:space="0" w:color="auto"/>
      </w:divBdr>
    </w:div>
    <w:div w:id="1522401287">
      <w:bodyDiv w:val="1"/>
      <w:marLeft w:val="0"/>
      <w:marRight w:val="0"/>
      <w:marTop w:val="0"/>
      <w:marBottom w:val="0"/>
      <w:divBdr>
        <w:top w:val="none" w:sz="0" w:space="0" w:color="auto"/>
        <w:left w:val="none" w:sz="0" w:space="0" w:color="auto"/>
        <w:bottom w:val="none" w:sz="0" w:space="0" w:color="auto"/>
        <w:right w:val="none" w:sz="0" w:space="0" w:color="auto"/>
      </w:divBdr>
    </w:div>
    <w:div w:id="1581719370">
      <w:bodyDiv w:val="1"/>
      <w:marLeft w:val="0"/>
      <w:marRight w:val="0"/>
      <w:marTop w:val="0"/>
      <w:marBottom w:val="0"/>
      <w:divBdr>
        <w:top w:val="none" w:sz="0" w:space="0" w:color="auto"/>
        <w:left w:val="none" w:sz="0" w:space="0" w:color="auto"/>
        <w:bottom w:val="none" w:sz="0" w:space="0" w:color="auto"/>
        <w:right w:val="none" w:sz="0" w:space="0" w:color="auto"/>
      </w:divBdr>
    </w:div>
    <w:div w:id="1588071816">
      <w:bodyDiv w:val="1"/>
      <w:marLeft w:val="0"/>
      <w:marRight w:val="0"/>
      <w:marTop w:val="0"/>
      <w:marBottom w:val="0"/>
      <w:divBdr>
        <w:top w:val="none" w:sz="0" w:space="0" w:color="auto"/>
        <w:left w:val="none" w:sz="0" w:space="0" w:color="auto"/>
        <w:bottom w:val="none" w:sz="0" w:space="0" w:color="auto"/>
        <w:right w:val="none" w:sz="0" w:space="0" w:color="auto"/>
      </w:divBdr>
    </w:div>
    <w:div w:id="1649942764">
      <w:bodyDiv w:val="1"/>
      <w:marLeft w:val="0"/>
      <w:marRight w:val="0"/>
      <w:marTop w:val="0"/>
      <w:marBottom w:val="0"/>
      <w:divBdr>
        <w:top w:val="none" w:sz="0" w:space="0" w:color="auto"/>
        <w:left w:val="none" w:sz="0" w:space="0" w:color="auto"/>
        <w:bottom w:val="none" w:sz="0" w:space="0" w:color="auto"/>
        <w:right w:val="none" w:sz="0" w:space="0" w:color="auto"/>
      </w:divBdr>
    </w:div>
    <w:div w:id="1658418331">
      <w:bodyDiv w:val="1"/>
      <w:marLeft w:val="0"/>
      <w:marRight w:val="0"/>
      <w:marTop w:val="0"/>
      <w:marBottom w:val="0"/>
      <w:divBdr>
        <w:top w:val="none" w:sz="0" w:space="0" w:color="auto"/>
        <w:left w:val="none" w:sz="0" w:space="0" w:color="auto"/>
        <w:bottom w:val="none" w:sz="0" w:space="0" w:color="auto"/>
        <w:right w:val="none" w:sz="0" w:space="0" w:color="auto"/>
      </w:divBdr>
    </w:div>
    <w:div w:id="1693993933">
      <w:bodyDiv w:val="1"/>
      <w:marLeft w:val="0"/>
      <w:marRight w:val="0"/>
      <w:marTop w:val="0"/>
      <w:marBottom w:val="0"/>
      <w:divBdr>
        <w:top w:val="none" w:sz="0" w:space="0" w:color="auto"/>
        <w:left w:val="none" w:sz="0" w:space="0" w:color="auto"/>
        <w:bottom w:val="none" w:sz="0" w:space="0" w:color="auto"/>
        <w:right w:val="none" w:sz="0" w:space="0" w:color="auto"/>
      </w:divBdr>
    </w:div>
    <w:div w:id="1701274928">
      <w:bodyDiv w:val="1"/>
      <w:marLeft w:val="0"/>
      <w:marRight w:val="0"/>
      <w:marTop w:val="0"/>
      <w:marBottom w:val="0"/>
      <w:divBdr>
        <w:top w:val="none" w:sz="0" w:space="0" w:color="auto"/>
        <w:left w:val="none" w:sz="0" w:space="0" w:color="auto"/>
        <w:bottom w:val="none" w:sz="0" w:space="0" w:color="auto"/>
        <w:right w:val="none" w:sz="0" w:space="0" w:color="auto"/>
      </w:divBdr>
    </w:div>
    <w:div w:id="1736319582">
      <w:bodyDiv w:val="1"/>
      <w:marLeft w:val="0"/>
      <w:marRight w:val="0"/>
      <w:marTop w:val="0"/>
      <w:marBottom w:val="0"/>
      <w:divBdr>
        <w:top w:val="none" w:sz="0" w:space="0" w:color="auto"/>
        <w:left w:val="none" w:sz="0" w:space="0" w:color="auto"/>
        <w:bottom w:val="none" w:sz="0" w:space="0" w:color="auto"/>
        <w:right w:val="none" w:sz="0" w:space="0" w:color="auto"/>
      </w:divBdr>
    </w:div>
    <w:div w:id="1777796691">
      <w:bodyDiv w:val="1"/>
      <w:marLeft w:val="0"/>
      <w:marRight w:val="0"/>
      <w:marTop w:val="0"/>
      <w:marBottom w:val="0"/>
      <w:divBdr>
        <w:top w:val="none" w:sz="0" w:space="0" w:color="auto"/>
        <w:left w:val="none" w:sz="0" w:space="0" w:color="auto"/>
        <w:bottom w:val="none" w:sz="0" w:space="0" w:color="auto"/>
        <w:right w:val="none" w:sz="0" w:space="0" w:color="auto"/>
      </w:divBdr>
    </w:div>
    <w:div w:id="1778479174">
      <w:bodyDiv w:val="1"/>
      <w:marLeft w:val="0"/>
      <w:marRight w:val="0"/>
      <w:marTop w:val="0"/>
      <w:marBottom w:val="0"/>
      <w:divBdr>
        <w:top w:val="none" w:sz="0" w:space="0" w:color="auto"/>
        <w:left w:val="none" w:sz="0" w:space="0" w:color="auto"/>
        <w:bottom w:val="none" w:sz="0" w:space="0" w:color="auto"/>
        <w:right w:val="none" w:sz="0" w:space="0" w:color="auto"/>
      </w:divBdr>
    </w:div>
    <w:div w:id="1817141960">
      <w:bodyDiv w:val="1"/>
      <w:marLeft w:val="0"/>
      <w:marRight w:val="0"/>
      <w:marTop w:val="0"/>
      <w:marBottom w:val="0"/>
      <w:divBdr>
        <w:top w:val="none" w:sz="0" w:space="0" w:color="auto"/>
        <w:left w:val="none" w:sz="0" w:space="0" w:color="auto"/>
        <w:bottom w:val="none" w:sz="0" w:space="0" w:color="auto"/>
        <w:right w:val="none" w:sz="0" w:space="0" w:color="auto"/>
      </w:divBdr>
    </w:div>
    <w:div w:id="1834444951">
      <w:bodyDiv w:val="1"/>
      <w:marLeft w:val="0"/>
      <w:marRight w:val="0"/>
      <w:marTop w:val="0"/>
      <w:marBottom w:val="0"/>
      <w:divBdr>
        <w:top w:val="none" w:sz="0" w:space="0" w:color="auto"/>
        <w:left w:val="none" w:sz="0" w:space="0" w:color="auto"/>
        <w:bottom w:val="none" w:sz="0" w:space="0" w:color="auto"/>
        <w:right w:val="none" w:sz="0" w:space="0" w:color="auto"/>
      </w:divBdr>
    </w:div>
    <w:div w:id="1887176223">
      <w:bodyDiv w:val="1"/>
      <w:marLeft w:val="0"/>
      <w:marRight w:val="0"/>
      <w:marTop w:val="0"/>
      <w:marBottom w:val="0"/>
      <w:divBdr>
        <w:top w:val="none" w:sz="0" w:space="0" w:color="auto"/>
        <w:left w:val="none" w:sz="0" w:space="0" w:color="auto"/>
        <w:bottom w:val="none" w:sz="0" w:space="0" w:color="auto"/>
        <w:right w:val="none" w:sz="0" w:space="0" w:color="auto"/>
      </w:divBdr>
    </w:div>
    <w:div w:id="1911764622">
      <w:bodyDiv w:val="1"/>
      <w:marLeft w:val="0"/>
      <w:marRight w:val="0"/>
      <w:marTop w:val="0"/>
      <w:marBottom w:val="0"/>
      <w:divBdr>
        <w:top w:val="none" w:sz="0" w:space="0" w:color="auto"/>
        <w:left w:val="none" w:sz="0" w:space="0" w:color="auto"/>
        <w:bottom w:val="none" w:sz="0" w:space="0" w:color="auto"/>
        <w:right w:val="none" w:sz="0" w:space="0" w:color="auto"/>
      </w:divBdr>
    </w:div>
    <w:div w:id="1925338974">
      <w:bodyDiv w:val="1"/>
      <w:marLeft w:val="0"/>
      <w:marRight w:val="0"/>
      <w:marTop w:val="0"/>
      <w:marBottom w:val="0"/>
      <w:divBdr>
        <w:top w:val="none" w:sz="0" w:space="0" w:color="auto"/>
        <w:left w:val="none" w:sz="0" w:space="0" w:color="auto"/>
        <w:bottom w:val="none" w:sz="0" w:space="0" w:color="auto"/>
        <w:right w:val="none" w:sz="0" w:space="0" w:color="auto"/>
      </w:divBdr>
    </w:div>
    <w:div w:id="1939367041">
      <w:bodyDiv w:val="1"/>
      <w:marLeft w:val="0"/>
      <w:marRight w:val="0"/>
      <w:marTop w:val="0"/>
      <w:marBottom w:val="0"/>
      <w:divBdr>
        <w:top w:val="none" w:sz="0" w:space="0" w:color="auto"/>
        <w:left w:val="none" w:sz="0" w:space="0" w:color="auto"/>
        <w:bottom w:val="none" w:sz="0" w:space="0" w:color="auto"/>
        <w:right w:val="none" w:sz="0" w:space="0" w:color="auto"/>
      </w:divBdr>
    </w:div>
    <w:div w:id="1967465806">
      <w:bodyDiv w:val="1"/>
      <w:marLeft w:val="0"/>
      <w:marRight w:val="0"/>
      <w:marTop w:val="0"/>
      <w:marBottom w:val="0"/>
      <w:divBdr>
        <w:top w:val="none" w:sz="0" w:space="0" w:color="auto"/>
        <w:left w:val="none" w:sz="0" w:space="0" w:color="auto"/>
        <w:bottom w:val="none" w:sz="0" w:space="0" w:color="auto"/>
        <w:right w:val="none" w:sz="0" w:space="0" w:color="auto"/>
      </w:divBdr>
    </w:div>
    <w:div w:id="2144077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hudoc.exec.coe.int/ENG?i=DH-DD(2021)395E"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hudoc.exec.coe.int/ENG?i=004-5621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hudoc.echr.coe.in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e.int/en/web/execution/lithuania" TargetMode="External"/><Relationship Id="rId5" Type="http://schemas.openxmlformats.org/officeDocument/2006/relationships/webSettings" Target="webSettings.xml"/><Relationship Id="rId15" Type="http://schemas.openxmlformats.org/officeDocument/2006/relationships/hyperlink" Target="https://hudoc.echr.coe.int/" TargetMode="External"/><Relationship Id="rId10" Type="http://schemas.openxmlformats.org/officeDocument/2006/relationships/hyperlink" Target="mailto:christel.schurrer@coe.int"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m.coe.int/lithuania-2021-data-/1680ab89be" TargetMode="External"/><Relationship Id="rId14" Type="http://schemas.openxmlformats.org/officeDocument/2006/relationships/hyperlink" Target="https://rm.coe.int/moneyval-2022-14-fur-lt/1680a9c7f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4059C6-7556-4E21-88CD-813C828EA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627</Words>
  <Characters>3451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PEARD Valerie</dc:creator>
  <cp:keywords/>
  <dc:description/>
  <cp:lastModifiedBy>PEARD Valerie</cp:lastModifiedBy>
  <cp:revision>10</cp:revision>
  <dcterms:created xsi:type="dcterms:W3CDTF">2023-12-26T06:39:00Z</dcterms:created>
  <dcterms:modified xsi:type="dcterms:W3CDTF">2024-01-12T06:39:00Z</dcterms:modified>
</cp:coreProperties>
</file>